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4C1CB9" w:rsidRDefault="00AC54E0" w:rsidP="00AC54E0">
      <w:pPr>
        <w:widowControl w:val="0"/>
        <w:jc w:val="center"/>
        <w:rPr>
          <w:b/>
        </w:rPr>
      </w:pPr>
      <w:r w:rsidRPr="004C1CB9">
        <w:rPr>
          <w:b/>
        </w:rPr>
        <w:t xml:space="preserve">Комитет по управлению муниципальным имуществом  </w:t>
      </w:r>
      <w:proofErr w:type="gramStart"/>
      <w:r w:rsidR="00351EE7" w:rsidRPr="004C1CB9">
        <w:rPr>
          <w:b/>
        </w:rPr>
        <w:t>А</w:t>
      </w:r>
      <w:r w:rsidRPr="004C1CB9">
        <w:rPr>
          <w:b/>
        </w:rPr>
        <w:t>дминистрации</w:t>
      </w:r>
      <w:proofErr w:type="gramEnd"/>
      <w:r w:rsidRPr="004C1CB9">
        <w:rPr>
          <w:b/>
        </w:rPr>
        <w:t xml:space="preserve"> </w:t>
      </w:r>
      <w:r w:rsidR="00D37700" w:rsidRPr="004C1CB9">
        <w:rPr>
          <w:b/>
        </w:rPr>
        <w:t xml:space="preserve">ЗАТО  </w:t>
      </w:r>
      <w:r w:rsidR="00351EE7" w:rsidRPr="004C1CB9">
        <w:rPr>
          <w:b/>
        </w:rPr>
        <w:t xml:space="preserve">                             </w:t>
      </w:r>
      <w:r w:rsidR="00D37700" w:rsidRPr="004C1CB9">
        <w:rPr>
          <w:b/>
        </w:rPr>
        <w:t xml:space="preserve">   г.</w:t>
      </w:r>
      <w:r w:rsidRPr="004C1CB9">
        <w:rPr>
          <w:b/>
        </w:rPr>
        <w:t xml:space="preserve"> </w:t>
      </w:r>
      <w:r w:rsidR="00D37700" w:rsidRPr="004C1CB9">
        <w:rPr>
          <w:b/>
        </w:rPr>
        <w:t xml:space="preserve">Железногорск  </w:t>
      </w:r>
      <w:r w:rsidRPr="004C1CB9">
        <w:rPr>
          <w:b/>
        </w:rPr>
        <w:t xml:space="preserve">сообщает о проведении продажи муниципального имущества </w:t>
      </w:r>
    </w:p>
    <w:p w:rsidR="004C1CB9" w:rsidRDefault="00AC54E0" w:rsidP="004C1CB9">
      <w:pPr>
        <w:widowControl w:val="0"/>
        <w:jc w:val="center"/>
        <w:rPr>
          <w:b/>
        </w:rPr>
      </w:pPr>
      <w:proofErr w:type="gramStart"/>
      <w:r w:rsidRPr="004C1CB9">
        <w:rPr>
          <w:b/>
        </w:rPr>
        <w:t xml:space="preserve">на аукционе в электронной форме </w:t>
      </w:r>
      <w:r w:rsidR="00C457A2" w:rsidRPr="004C1CB9">
        <w:rPr>
          <w:b/>
        </w:rPr>
        <w:t xml:space="preserve"> </w:t>
      </w:r>
      <w:r w:rsidR="004C1CB9" w:rsidRPr="004C1CB9">
        <w:rPr>
          <w:b/>
        </w:rPr>
        <w:t xml:space="preserve">(извещение на сайте </w:t>
      </w:r>
      <w:hyperlink r:id="rId6" w:history="1">
        <w:r w:rsidR="004C1CB9" w:rsidRPr="004C1CB9">
          <w:rPr>
            <w:b/>
          </w:rPr>
          <w:t>www.torgi.gov.ru</w:t>
        </w:r>
      </w:hyperlink>
      <w:proofErr w:type="gramEnd"/>
    </w:p>
    <w:p w:rsidR="00AC54E0" w:rsidRPr="004C1CB9" w:rsidRDefault="00AC54E0" w:rsidP="004C1CB9">
      <w:pPr>
        <w:widowControl w:val="0"/>
        <w:jc w:val="center"/>
        <w:rPr>
          <w:b/>
        </w:rPr>
      </w:pPr>
      <w:r w:rsidRPr="004C1CB9">
        <w:rPr>
          <w:b/>
        </w:rPr>
        <w:t>№</w:t>
      </w:r>
      <w:r w:rsidR="000A53B9" w:rsidRPr="004C1CB9">
        <w:rPr>
          <w:b/>
        </w:rPr>
        <w:t xml:space="preserve"> </w:t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F029BA" w:rsidRPr="004C1CB9">
        <w:rPr>
          <w:b/>
        </w:rPr>
        <w:t xml:space="preserve"> </w:t>
      </w:r>
      <w:r w:rsidR="00772A5B" w:rsidRPr="004C1CB9">
        <w:rPr>
          <w:b/>
        </w:rPr>
        <w:t>21000011480000000018</w:t>
      </w:r>
      <w:r w:rsidR="00BA0443" w:rsidRPr="004C1CB9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A5498">
        <w:rPr>
          <w:rFonts w:ascii="Times New Roman" w:hAnsi="Times New Roman"/>
          <w:b w:val="0"/>
          <w:i w:val="0"/>
          <w:sz w:val="24"/>
          <w:szCs w:val="24"/>
        </w:rPr>
        <w:t>23.06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A5498">
        <w:rPr>
          <w:rFonts w:ascii="Times New Roman" w:hAnsi="Times New Roman"/>
          <w:b w:val="0"/>
          <w:i w:val="0"/>
          <w:sz w:val="24"/>
          <w:szCs w:val="24"/>
        </w:rPr>
        <w:t>250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гаража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адресу: ГК № 21, бокс № 3, гараж №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="00D361DE">
        <w:t xml:space="preserve"> (гараж)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proofErr w:type="gramStart"/>
      <w:r w:rsidR="002C1710">
        <w:t>г</w:t>
      </w:r>
      <w:proofErr w:type="gramEnd"/>
      <w:r w:rsidR="002C1710">
        <w:t xml:space="preserve">. Железногорск, </w:t>
      </w:r>
      <w:r w:rsidR="00D361DE">
        <w:t>ГК № 21, бокс № 3, гараж № 30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D361DE" w:rsidRPr="00DA5498">
        <w:t>17</w:t>
      </w:r>
      <w:r w:rsidR="00E969C4">
        <w:t>,7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D361DE">
        <w:t>одноэтажный гаражный бокс ГК № 21</w:t>
      </w:r>
      <w:r>
        <w:t>.</w:t>
      </w:r>
    </w:p>
    <w:p w:rsidR="002137AC" w:rsidRPr="002137AC" w:rsidRDefault="00D361DE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4E18">
        <w:rPr>
          <w:sz w:val="24"/>
          <w:szCs w:val="24"/>
        </w:rPr>
        <w:t xml:space="preserve">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</w:t>
      </w:r>
      <w:r>
        <w:rPr>
          <w:sz w:val="24"/>
          <w:szCs w:val="24"/>
        </w:rPr>
        <w:t>гаражному кооперативу, в составе которого расположен Объект,</w:t>
      </w:r>
      <w:r w:rsidR="002C1710">
        <w:rPr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имеются подъездные пути, парковка. </w:t>
      </w:r>
      <w:r>
        <w:rPr>
          <w:sz w:val="24"/>
          <w:szCs w:val="24"/>
        </w:rPr>
        <w:t>Двери – железные.</w:t>
      </w:r>
      <w:r w:rsidR="002C1710" w:rsidRPr="008E0CC4">
        <w:rPr>
          <w:sz w:val="24"/>
          <w:szCs w:val="24"/>
        </w:rPr>
        <w:t xml:space="preserve"> Внутренняя отделка простая. </w:t>
      </w:r>
      <w:r>
        <w:rPr>
          <w:sz w:val="24"/>
          <w:szCs w:val="24"/>
        </w:rPr>
        <w:t xml:space="preserve">Гаражный кооператив № 21, в котором расположен объект, </w:t>
      </w:r>
      <w:r w:rsidR="002C1710" w:rsidRPr="008E0CC4">
        <w:rPr>
          <w:sz w:val="24"/>
          <w:szCs w:val="24"/>
        </w:rPr>
        <w:t>обеспечен централизованными системами электроснабжения</w:t>
      </w:r>
      <w:r>
        <w:rPr>
          <w:sz w:val="24"/>
          <w:szCs w:val="24"/>
        </w:rPr>
        <w:t>,  водоснабжения</w:t>
      </w:r>
      <w:r w:rsidR="002C1710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Информация о размере взносов, уплачиваемых членами гаражного кооператива, отсутствует. </w:t>
      </w:r>
      <w:r w:rsidR="002C17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 w:rsidR="002C1710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расположен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>19</w:t>
      </w:r>
      <w:r w:rsidR="002C1710">
        <w:rPr>
          <w:sz w:val="24"/>
          <w:szCs w:val="24"/>
        </w:rPr>
        <w:t>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</w:t>
      </w:r>
      <w:r>
        <w:rPr>
          <w:sz w:val="24"/>
          <w:szCs w:val="24"/>
        </w:rPr>
        <w:t>4001</w:t>
      </w:r>
      <w:r w:rsidR="00F30899" w:rsidRPr="00E00A13">
        <w:rPr>
          <w:sz w:val="24"/>
          <w:szCs w:val="24"/>
        </w:rPr>
        <w:t>:</w:t>
      </w:r>
      <w:r>
        <w:rPr>
          <w:sz w:val="24"/>
          <w:szCs w:val="24"/>
        </w:rPr>
        <w:t>68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>местоположение земельного участка</w:t>
      </w:r>
      <w:r>
        <w:rPr>
          <w:sz w:val="24"/>
          <w:szCs w:val="24"/>
        </w:rPr>
        <w:t xml:space="preserve"> установлено относительно ориентира, расположенного в границах земельного участка, почтовый адрес ориентира</w:t>
      </w:r>
      <w:r w:rsidR="00F30899">
        <w:rPr>
          <w:sz w:val="24"/>
          <w:szCs w:val="24"/>
        </w:rPr>
        <w:t xml:space="preserve">: </w:t>
      </w:r>
      <w:r w:rsidR="00F30899" w:rsidRPr="00B22248">
        <w:rPr>
          <w:sz w:val="24"/>
          <w:szCs w:val="24"/>
        </w:rPr>
        <w:t>Красноярский край, ЗАТО Железногорск,</w:t>
      </w:r>
      <w:r w:rsidR="00F30899">
        <w:rPr>
          <w:sz w:val="24"/>
          <w:szCs w:val="24"/>
        </w:rPr>
        <w:t xml:space="preserve"> </w:t>
      </w:r>
      <w:proofErr w:type="gramStart"/>
      <w:r w:rsidR="002C1710">
        <w:rPr>
          <w:sz w:val="24"/>
          <w:szCs w:val="24"/>
        </w:rPr>
        <w:t>г</w:t>
      </w:r>
      <w:proofErr w:type="gramEnd"/>
      <w:r w:rsidR="002C1710">
        <w:rPr>
          <w:sz w:val="24"/>
          <w:szCs w:val="24"/>
        </w:rPr>
        <w:t xml:space="preserve">. Железногорск, </w:t>
      </w:r>
      <w:r>
        <w:rPr>
          <w:sz w:val="24"/>
          <w:szCs w:val="24"/>
        </w:rPr>
        <w:t>в составе г/к 21 (бокс 3, гараж 30)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313A03">
        <w:rPr>
          <w:sz w:val="24"/>
          <w:szCs w:val="24"/>
        </w:rPr>
        <w:t>для гаража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313A03">
        <w:rPr>
          <w:sz w:val="24"/>
          <w:szCs w:val="24"/>
        </w:rPr>
        <w:t xml:space="preserve">Объекту 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313A03">
        <w:rPr>
          <w:sz w:val="24"/>
          <w:szCs w:val="24"/>
        </w:rPr>
        <w:t xml:space="preserve">Объекта </w:t>
      </w:r>
      <w:r w:rsidR="002C1710">
        <w:rPr>
          <w:sz w:val="24"/>
          <w:szCs w:val="24"/>
        </w:rPr>
        <w:t xml:space="preserve">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A5498" w:rsidRPr="00EF1190" w:rsidRDefault="00DA5498" w:rsidP="00DA54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аукцион по продаже объекта 26.05.2022 был признан несостоявшимся в связи с отсутствием участников аукциона (ни один из претендентов не был допущен к торгам).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313A03">
        <w:t>204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A5498">
        <w:rPr>
          <w:b/>
        </w:rPr>
        <w:t>09</w:t>
      </w:r>
      <w:r w:rsidRPr="00137102">
        <w:rPr>
          <w:b/>
        </w:rPr>
        <w:t xml:space="preserve">» </w:t>
      </w:r>
      <w:r w:rsidR="00DA5498">
        <w:rPr>
          <w:b/>
        </w:rPr>
        <w:t>ию</w:t>
      </w:r>
      <w:r w:rsidR="002761B8">
        <w:rPr>
          <w:b/>
        </w:rPr>
        <w:t>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957B9">
        <w:rPr>
          <w:b/>
        </w:rPr>
        <w:t>19</w:t>
      </w:r>
      <w:r w:rsidRPr="00137102">
        <w:rPr>
          <w:b/>
        </w:rPr>
        <w:t xml:space="preserve">» </w:t>
      </w:r>
      <w:r w:rsidR="007957B9">
        <w:rPr>
          <w:b/>
        </w:rPr>
        <w:t>сентябр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957B9">
        <w:rPr>
          <w:b/>
        </w:rPr>
        <w:t>20</w:t>
      </w:r>
      <w:r w:rsidRPr="00137102">
        <w:rPr>
          <w:b/>
        </w:rPr>
        <w:t xml:space="preserve">» </w:t>
      </w:r>
      <w:r w:rsidR="007957B9">
        <w:rPr>
          <w:b/>
        </w:rPr>
        <w:t>сентябр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313A0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7957B9">
        <w:rPr>
          <w:b/>
        </w:rPr>
        <w:t>22</w:t>
      </w:r>
      <w:r w:rsidRPr="00137102">
        <w:rPr>
          <w:b/>
        </w:rPr>
        <w:t xml:space="preserve">» </w:t>
      </w:r>
      <w:r w:rsidR="007957B9">
        <w:rPr>
          <w:b/>
        </w:rPr>
        <w:t>сентябр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</w:t>
      </w:r>
      <w:r w:rsidRPr="0087350D">
        <w:rPr>
          <w:bCs/>
          <w:color w:val="000000"/>
        </w:rPr>
        <w:lastRenderedPageBreak/>
        <w:t xml:space="preserve">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313A03">
        <w:rPr>
          <w:b/>
        </w:rPr>
        <w:t>40 8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313A03">
        <w:rPr>
          <w:rFonts w:eastAsia="Calibri"/>
          <w:b/>
        </w:rPr>
        <w:t xml:space="preserve">сорок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313A03">
        <w:rPr>
          <w:rFonts w:eastAsia="Calibri"/>
          <w:b/>
        </w:rPr>
        <w:t xml:space="preserve">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313A03">
        <w:t xml:space="preserve">гаража № </w:t>
      </w:r>
      <w:r w:rsidR="002761B8">
        <w:t>30</w:t>
      </w:r>
      <w:r w:rsidR="00313A03">
        <w:t xml:space="preserve"> в ГК № 21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7957B9">
        <w:t>июл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0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313A03">
        <w:rPr>
          <w:sz w:val="24"/>
          <w:szCs w:val="24"/>
        </w:rPr>
        <w:t>понедель</w:t>
      </w:r>
      <w:r w:rsidR="002761B8">
        <w:rPr>
          <w:sz w:val="24"/>
          <w:szCs w:val="24"/>
        </w:rPr>
        <w:t>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979EB">
        <w:rPr>
          <w:b/>
        </w:rPr>
        <w:t>1</w:t>
      </w:r>
      <w:r w:rsidR="00313A03">
        <w:rPr>
          <w:b/>
        </w:rPr>
        <w:t>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313A03">
        <w:rPr>
          <w:rFonts w:eastAsia="Calibri"/>
          <w:b/>
        </w:rPr>
        <w:t>деся</w:t>
      </w:r>
      <w:r w:rsidR="002761B8">
        <w:rPr>
          <w:rFonts w:eastAsia="Calibri"/>
          <w:b/>
        </w:rPr>
        <w:t xml:space="preserve">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</w:t>
      </w:r>
      <w:r w:rsidRPr="00E05FE0">
        <w:lastRenderedPageBreak/>
        <w:t xml:space="preserve">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2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3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4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5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6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957B9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</w:t>
      </w:r>
      <w:r w:rsidR="007957B9">
        <w:t>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637D"/>
    <w:rsid w:val="00137102"/>
    <w:rsid w:val="00140B68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admk26.ru/sfery/%20bezopasnost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7FE7DF009F6FFE2386DBBC9B6384AA3EA26C53D32677E796AC24C348E3BF25D0491n2hB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02D2-4B98-44BB-8651-C4B5C61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6761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2021-07-09T08:30:00Z</cp:lastPrinted>
  <dcterms:created xsi:type="dcterms:W3CDTF">2022-03-29T03:50:00Z</dcterms:created>
  <dcterms:modified xsi:type="dcterms:W3CDTF">2022-06-29T04:08:00Z</dcterms:modified>
</cp:coreProperties>
</file>