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021CB">
        <w:rPr>
          <w:b/>
        </w:rPr>
        <w:t>А</w:t>
      </w:r>
      <w:r w:rsidRPr="000021CB">
        <w:rPr>
          <w:b/>
        </w:rPr>
        <w:t>дминистрации</w:t>
      </w:r>
      <w:proofErr w:type="gramEnd"/>
      <w:r w:rsidRPr="000021CB">
        <w:rPr>
          <w:b/>
        </w:rPr>
        <w:t xml:space="preserve"> </w:t>
      </w:r>
      <w:r w:rsidR="00D37700" w:rsidRPr="000021CB">
        <w:rPr>
          <w:b/>
        </w:rPr>
        <w:t xml:space="preserve">ЗАТО  </w:t>
      </w:r>
      <w:r w:rsidR="00351EE7" w:rsidRPr="000021CB">
        <w:rPr>
          <w:b/>
        </w:rPr>
        <w:t xml:space="preserve">                             </w:t>
      </w:r>
      <w:r w:rsidR="00D37700" w:rsidRPr="000021CB">
        <w:rPr>
          <w:b/>
        </w:rPr>
        <w:t xml:space="preserve">   г.</w:t>
      </w:r>
      <w:r w:rsidRPr="000021CB">
        <w:rPr>
          <w:b/>
        </w:rPr>
        <w:t xml:space="preserve"> </w:t>
      </w:r>
      <w:r w:rsidR="00D37700" w:rsidRPr="000021CB">
        <w:rPr>
          <w:b/>
        </w:rPr>
        <w:t xml:space="preserve">Железногорск  </w:t>
      </w:r>
      <w:r w:rsidRPr="000021CB">
        <w:rPr>
          <w:b/>
        </w:rPr>
        <w:t xml:space="preserve">сообщает о проведении продажи муниципального имущества </w:t>
      </w:r>
    </w:p>
    <w:p w:rsidR="00AC54E0" w:rsidRPr="000021CB" w:rsidRDefault="00AC54E0" w:rsidP="006342D8">
      <w:pPr>
        <w:widowControl w:val="0"/>
        <w:jc w:val="center"/>
        <w:rPr>
          <w:b/>
        </w:rPr>
      </w:pPr>
      <w:r w:rsidRPr="000021CB">
        <w:rPr>
          <w:b/>
        </w:rPr>
        <w:t xml:space="preserve">на аукционе в электронной форме </w:t>
      </w:r>
      <w:r w:rsidR="006342D8">
        <w:rPr>
          <w:b/>
        </w:rPr>
        <w:t xml:space="preserve">                                                                                             </w:t>
      </w:r>
      <w:r w:rsidRPr="000021CB">
        <w:rPr>
          <w:b/>
        </w:rPr>
        <w:t xml:space="preserve">(извещение на сайте </w:t>
      </w:r>
      <w:hyperlink r:id="rId6" w:history="1">
        <w:r w:rsidRPr="000021CB">
          <w:rPr>
            <w:b/>
          </w:rPr>
          <w:t>www.torgi.gov.ru</w:t>
        </w:r>
      </w:hyperlink>
      <w:r w:rsidRPr="000021CB">
        <w:rPr>
          <w:b/>
        </w:rPr>
        <w:t xml:space="preserve"> </w:t>
      </w:r>
      <w:r w:rsidR="000A53B9" w:rsidRPr="000021CB">
        <w:rPr>
          <w:b/>
        </w:rPr>
        <w:t xml:space="preserve"> </w:t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CB26DF" w:rsidRPr="00CB26DF">
        <w:t xml:space="preserve"> </w:t>
      </w:r>
      <w:hyperlink r:id="rId7" w:history="1">
        <w:r w:rsidR="00CB26DF">
          <w:rPr>
            <w:rStyle w:val="a7"/>
            <w:rFonts w:ascii="Arial" w:hAnsi="Arial" w:cs="Arial"/>
            <w:b/>
            <w:bCs/>
            <w:color w:val="014DA8"/>
            <w:sz w:val="25"/>
            <w:szCs w:val="25"/>
          </w:rPr>
          <w:t>№21000011480000000012</w:t>
        </w:r>
      </w:hyperlink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8" w:history="1">
              <w:r w:rsidR="00D013A7" w:rsidRPr="006B2AB5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9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10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1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Pr="00D37700">
        <w:rPr>
          <w:color w:val="000000"/>
        </w:rPr>
        <w:lastRenderedPageBreak/>
        <w:t xml:space="preserve">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F02318">
        <w:rPr>
          <w:rFonts w:ascii="Times New Roman" w:hAnsi="Times New Roman"/>
          <w:b w:val="0"/>
          <w:i w:val="0"/>
          <w:sz w:val="24"/>
          <w:szCs w:val="24"/>
        </w:rPr>
        <w:t>04</w:t>
      </w:r>
      <w:r w:rsidR="00247D86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F02318">
        <w:rPr>
          <w:rFonts w:ascii="Times New Roman" w:hAnsi="Times New Roman"/>
          <w:b w:val="0"/>
          <w:i w:val="0"/>
          <w:sz w:val="24"/>
          <w:szCs w:val="24"/>
        </w:rPr>
        <w:t>168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247D86">
        <w:rPr>
          <w:rFonts w:ascii="Times New Roman" w:hAnsi="Times New Roman"/>
          <w:b w:val="0"/>
          <w:i w:val="0"/>
          <w:sz w:val="24"/>
          <w:szCs w:val="24"/>
        </w:rPr>
        <w:t>67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47D86">
        <w:rPr>
          <w:rFonts w:ascii="Times New Roman" w:hAnsi="Times New Roman"/>
          <w:b w:val="0"/>
          <w:i w:val="0"/>
          <w:sz w:val="24"/>
          <w:szCs w:val="24"/>
        </w:rPr>
        <w:t>Ленина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247D86">
        <w:rPr>
          <w:rFonts w:ascii="Times New Roman" w:hAnsi="Times New Roman"/>
          <w:b w:val="0"/>
          <w:i w:val="0"/>
          <w:sz w:val="24"/>
          <w:szCs w:val="24"/>
        </w:rPr>
        <w:t>49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>нежилое помещение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r w:rsidR="002C1710">
        <w:t xml:space="preserve">г. Железногорск, ул. </w:t>
      </w:r>
      <w:r w:rsidR="00247D86">
        <w:t>Ленина</w:t>
      </w:r>
      <w:r w:rsidR="002C1710">
        <w:t xml:space="preserve">, д. </w:t>
      </w:r>
      <w:r w:rsidR="00247D86">
        <w:t>49</w:t>
      </w:r>
      <w:r w:rsidR="002C1710">
        <w:t xml:space="preserve">, </w:t>
      </w:r>
      <w:proofErr w:type="spellStart"/>
      <w:r w:rsidR="002C1710">
        <w:t>пом</w:t>
      </w:r>
      <w:proofErr w:type="spellEnd"/>
      <w:r w:rsidR="002C1710">
        <w:t xml:space="preserve">. </w:t>
      </w:r>
      <w:r w:rsidR="00247D86">
        <w:t>67</w:t>
      </w:r>
      <w:r w:rsidRPr="00F30899">
        <w:t>.</w:t>
      </w:r>
      <w:proofErr w:type="gramEnd"/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247D86">
        <w:t>158,1</w:t>
      </w:r>
      <w:r w:rsidR="00F47B66">
        <w:t xml:space="preserve"> </w:t>
      </w:r>
      <w:r w:rsidRPr="00F30899">
        <w:t>кв. метров;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247D86">
        <w:t>подвал МКД</w:t>
      </w:r>
      <w:r>
        <w:t>.</w:t>
      </w:r>
    </w:p>
    <w:p w:rsidR="002137AC" w:rsidRPr="002137AC" w:rsidRDefault="00D7441B" w:rsidP="002C171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F30899">
        <w:rPr>
          <w:sz w:val="24"/>
          <w:szCs w:val="24"/>
        </w:rPr>
        <w:t xml:space="preserve">отоснимки </w:t>
      </w:r>
      <w:r w:rsidR="00137102">
        <w:rPr>
          <w:sz w:val="24"/>
          <w:szCs w:val="24"/>
        </w:rPr>
        <w:t>О</w:t>
      </w:r>
      <w:r w:rsidR="00F30899">
        <w:rPr>
          <w:sz w:val="24"/>
          <w:szCs w:val="24"/>
        </w:rPr>
        <w:t>бъекта</w:t>
      </w:r>
      <w:r w:rsidR="006E4E18">
        <w:rPr>
          <w:sz w:val="24"/>
          <w:szCs w:val="24"/>
        </w:rPr>
        <w:t>, выписк</w:t>
      </w:r>
      <w:r w:rsidR="00247D86">
        <w:rPr>
          <w:sz w:val="24"/>
          <w:szCs w:val="24"/>
        </w:rPr>
        <w:t>а</w:t>
      </w:r>
      <w:r w:rsidR="006E4E18">
        <w:rPr>
          <w:sz w:val="24"/>
          <w:szCs w:val="24"/>
        </w:rPr>
        <w:t xml:space="preserve"> из Единого государственного реестра недвижимости в отношении </w:t>
      </w:r>
      <w:r w:rsidR="00137102">
        <w:rPr>
          <w:sz w:val="24"/>
          <w:szCs w:val="24"/>
        </w:rPr>
        <w:t>О</w:t>
      </w:r>
      <w:r w:rsidR="00247D86">
        <w:rPr>
          <w:sz w:val="24"/>
          <w:szCs w:val="24"/>
        </w:rPr>
        <w:t>бъекта</w:t>
      </w:r>
      <w:r w:rsidR="006E4E18">
        <w:rPr>
          <w:sz w:val="24"/>
          <w:szCs w:val="24"/>
        </w:rPr>
        <w:t xml:space="preserve">, </w:t>
      </w:r>
      <w:r w:rsidR="00F30899">
        <w:rPr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sz w:val="24"/>
          <w:szCs w:val="24"/>
        </w:rPr>
        <w:t>.</w:t>
      </w:r>
      <w:r w:rsidR="008E0CC4" w:rsidRPr="002137AC">
        <w:rPr>
          <w:color w:val="FF0000"/>
          <w:sz w:val="24"/>
          <w:szCs w:val="24"/>
        </w:rPr>
        <w:t xml:space="preserve"> </w:t>
      </w:r>
      <w:proofErr w:type="gramStart"/>
      <w:r w:rsidR="00247D86">
        <w:rPr>
          <w:sz w:val="24"/>
          <w:szCs w:val="24"/>
        </w:rPr>
        <w:t>Информация о т</w:t>
      </w:r>
      <w:r w:rsidR="00247D86" w:rsidRPr="00375CD6">
        <w:rPr>
          <w:sz w:val="24"/>
          <w:szCs w:val="24"/>
        </w:rPr>
        <w:t>ехническо</w:t>
      </w:r>
      <w:r w:rsidR="00247D86">
        <w:rPr>
          <w:sz w:val="24"/>
          <w:szCs w:val="24"/>
        </w:rPr>
        <w:t>м</w:t>
      </w:r>
      <w:r w:rsidR="00247D86" w:rsidRPr="00375CD6">
        <w:rPr>
          <w:sz w:val="24"/>
          <w:szCs w:val="24"/>
        </w:rPr>
        <w:t xml:space="preserve"> состояние</w:t>
      </w:r>
      <w:r w:rsidR="00247D86">
        <w:rPr>
          <w:sz w:val="24"/>
          <w:szCs w:val="24"/>
        </w:rPr>
        <w:t xml:space="preserve"> объекта приведена в </w:t>
      </w:r>
      <w:r w:rsidR="00247D86" w:rsidRPr="00375CD6">
        <w:rPr>
          <w:sz w:val="24"/>
          <w:szCs w:val="24"/>
        </w:rPr>
        <w:t>Приложени</w:t>
      </w:r>
      <w:r w:rsidR="00247D86">
        <w:rPr>
          <w:sz w:val="24"/>
          <w:szCs w:val="24"/>
        </w:rPr>
        <w:t>и</w:t>
      </w:r>
      <w:r w:rsidR="00247D86" w:rsidRPr="00375CD6">
        <w:rPr>
          <w:sz w:val="24"/>
          <w:szCs w:val="24"/>
        </w:rPr>
        <w:t xml:space="preserve"> № </w:t>
      </w:r>
      <w:r w:rsidR="00247D86">
        <w:rPr>
          <w:sz w:val="24"/>
          <w:szCs w:val="24"/>
        </w:rPr>
        <w:t>4</w:t>
      </w:r>
      <w:r w:rsidR="00247D86" w:rsidRPr="00375CD6">
        <w:rPr>
          <w:sz w:val="24"/>
          <w:szCs w:val="24"/>
        </w:rPr>
        <w:t xml:space="preserve"> к  </w:t>
      </w:r>
      <w:r w:rsidR="00247D86" w:rsidRPr="00375CD6">
        <w:rPr>
          <w:bCs/>
          <w:sz w:val="24"/>
          <w:szCs w:val="24"/>
        </w:rPr>
        <w:t xml:space="preserve"> настоящему информационному сообщению</w:t>
      </w:r>
      <w:r w:rsidR="00247D86">
        <w:rPr>
          <w:bCs/>
          <w:sz w:val="24"/>
          <w:szCs w:val="24"/>
        </w:rPr>
        <w:t xml:space="preserve"> (</w:t>
      </w:r>
      <w:r w:rsidR="00247D86" w:rsidRPr="00375CD6">
        <w:rPr>
          <w:sz w:val="24"/>
          <w:szCs w:val="24"/>
        </w:rPr>
        <w:t xml:space="preserve">акт визуального осмотра от </w:t>
      </w:r>
      <w:r w:rsidR="00247D86">
        <w:rPr>
          <w:sz w:val="24"/>
          <w:szCs w:val="24"/>
        </w:rPr>
        <w:t>13.04.2021)</w:t>
      </w:r>
      <w:r w:rsidR="00247D86" w:rsidRPr="008E0CC4">
        <w:rPr>
          <w:sz w:val="24"/>
          <w:szCs w:val="24"/>
        </w:rPr>
        <w:t>.</w:t>
      </w:r>
      <w:proofErr w:type="gramEnd"/>
      <w:r w:rsidR="00247D86" w:rsidRPr="008E0CC4">
        <w:rPr>
          <w:sz w:val="24"/>
          <w:szCs w:val="24"/>
        </w:rPr>
        <w:t xml:space="preserve"> Помещение имеет отдельны</w:t>
      </w:r>
      <w:r w:rsidR="00247D86">
        <w:rPr>
          <w:sz w:val="24"/>
          <w:szCs w:val="24"/>
        </w:rPr>
        <w:t>й</w:t>
      </w:r>
      <w:r w:rsidR="00247D86" w:rsidRPr="008E0CC4">
        <w:rPr>
          <w:sz w:val="24"/>
          <w:szCs w:val="24"/>
        </w:rPr>
        <w:t xml:space="preserve"> вход</w:t>
      </w:r>
      <w:r w:rsidR="00247D86">
        <w:rPr>
          <w:sz w:val="24"/>
          <w:szCs w:val="24"/>
        </w:rPr>
        <w:t xml:space="preserve"> со стороны ул. Ленина</w:t>
      </w:r>
      <w:r w:rsidR="00247D86" w:rsidRPr="008E0CC4">
        <w:rPr>
          <w:sz w:val="24"/>
          <w:szCs w:val="24"/>
        </w:rPr>
        <w:t xml:space="preserve">. </w:t>
      </w:r>
      <w:r w:rsidR="006E4E18">
        <w:rPr>
          <w:sz w:val="24"/>
          <w:szCs w:val="24"/>
        </w:rPr>
        <w:t xml:space="preserve">Непосредственно к </w:t>
      </w:r>
      <w:r w:rsidR="00247D86">
        <w:rPr>
          <w:sz w:val="24"/>
          <w:szCs w:val="24"/>
        </w:rPr>
        <w:t>многоквартирному дому</w:t>
      </w:r>
      <w:r w:rsidR="002C1710">
        <w:rPr>
          <w:sz w:val="24"/>
          <w:szCs w:val="24"/>
        </w:rPr>
        <w:t>, в котором расположен Объект,</w:t>
      </w:r>
      <w:r w:rsidR="006E4E18">
        <w:rPr>
          <w:sz w:val="24"/>
          <w:szCs w:val="24"/>
        </w:rPr>
        <w:t xml:space="preserve"> имеются подъездные пути (асфальт</w:t>
      </w:r>
      <w:r w:rsidR="00247D86">
        <w:rPr>
          <w:sz w:val="24"/>
          <w:szCs w:val="24"/>
        </w:rPr>
        <w:t>ирован</w:t>
      </w:r>
      <w:r w:rsidR="006E4E18">
        <w:rPr>
          <w:sz w:val="24"/>
          <w:szCs w:val="24"/>
        </w:rPr>
        <w:t xml:space="preserve">ная дорога). В </w:t>
      </w:r>
      <w:proofErr w:type="gramStart"/>
      <w:r w:rsidR="006E4E18">
        <w:rPr>
          <w:sz w:val="24"/>
          <w:szCs w:val="24"/>
        </w:rPr>
        <w:t>районе</w:t>
      </w:r>
      <w:proofErr w:type="gramEnd"/>
      <w:r w:rsidR="006E4E18">
        <w:rPr>
          <w:sz w:val="24"/>
          <w:szCs w:val="24"/>
        </w:rPr>
        <w:t xml:space="preserve"> расположения </w:t>
      </w:r>
      <w:r w:rsidR="00247D86">
        <w:rPr>
          <w:sz w:val="24"/>
          <w:szCs w:val="24"/>
        </w:rPr>
        <w:t>МКД</w:t>
      </w:r>
      <w:r w:rsidR="002C1710">
        <w:rPr>
          <w:sz w:val="24"/>
          <w:szCs w:val="24"/>
        </w:rPr>
        <w:t xml:space="preserve">, в котором расположен Объект, </w:t>
      </w:r>
      <w:r w:rsidR="006E4E18">
        <w:rPr>
          <w:sz w:val="24"/>
          <w:szCs w:val="24"/>
        </w:rPr>
        <w:t>имеются здания как жилого, так и нежилого назначения. Социальная и экономическая инфраст</w:t>
      </w:r>
      <w:r w:rsidR="00463492">
        <w:rPr>
          <w:sz w:val="24"/>
          <w:szCs w:val="24"/>
        </w:rPr>
        <w:t>р</w:t>
      </w:r>
      <w:r w:rsidR="006E4E18">
        <w:rPr>
          <w:sz w:val="24"/>
          <w:szCs w:val="24"/>
        </w:rPr>
        <w:t>уктур</w:t>
      </w:r>
      <w:r w:rsidR="00463492">
        <w:rPr>
          <w:sz w:val="24"/>
          <w:szCs w:val="24"/>
        </w:rPr>
        <w:t>ы</w:t>
      </w:r>
      <w:r w:rsidR="006E4E18">
        <w:rPr>
          <w:sz w:val="24"/>
          <w:szCs w:val="24"/>
        </w:rPr>
        <w:t xml:space="preserve"> в районе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</w:t>
      </w:r>
      <w:r w:rsidR="00463492">
        <w:rPr>
          <w:sz w:val="24"/>
          <w:szCs w:val="24"/>
        </w:rPr>
        <w:t xml:space="preserve"> развиты. Обременения в отношении </w:t>
      </w:r>
      <w:r w:rsidR="00137102">
        <w:rPr>
          <w:sz w:val="24"/>
          <w:szCs w:val="24"/>
        </w:rPr>
        <w:t>О</w:t>
      </w:r>
      <w:r w:rsidR="00463492">
        <w:rPr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247D86" w:rsidRPr="00EF1190" w:rsidRDefault="00247D86" w:rsidP="00247D8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связи с отсутствием заявок на участие в аукционе  была признана несостоявшейся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а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(01.12.2021).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47D86">
        <w:t xml:space="preserve">1 200 </w:t>
      </w:r>
      <w:r w:rsidR="00BC4FAE">
        <w:t>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AC2161">
        <w:rPr>
          <w:b/>
        </w:rPr>
        <w:t>14</w:t>
      </w:r>
      <w:r w:rsidRPr="00137102">
        <w:rPr>
          <w:b/>
        </w:rPr>
        <w:t xml:space="preserve">» </w:t>
      </w:r>
      <w:r w:rsidR="00247D86">
        <w:rPr>
          <w:b/>
        </w:rPr>
        <w:t>ма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AC2161">
        <w:rPr>
          <w:b/>
        </w:rPr>
        <w:t>0</w:t>
      </w:r>
      <w:r w:rsidR="00247D86">
        <w:rPr>
          <w:b/>
        </w:rPr>
        <w:t>7</w:t>
      </w:r>
      <w:r w:rsidRPr="00137102">
        <w:rPr>
          <w:b/>
        </w:rPr>
        <w:t xml:space="preserve">» </w:t>
      </w:r>
      <w:r w:rsidR="00247D86">
        <w:rPr>
          <w:b/>
        </w:rPr>
        <w:t>июл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AC2161">
        <w:rPr>
          <w:b/>
        </w:rPr>
        <w:t>0</w:t>
      </w:r>
      <w:r w:rsidR="00247D86">
        <w:rPr>
          <w:b/>
        </w:rPr>
        <w:t>8</w:t>
      </w:r>
      <w:r w:rsidRPr="00137102">
        <w:rPr>
          <w:b/>
        </w:rPr>
        <w:t xml:space="preserve">» </w:t>
      </w:r>
      <w:r w:rsidR="00247D86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3B45E0" w:rsidRPr="00137102">
        <w:rPr>
          <w:b/>
        </w:rPr>
        <w:t>6</w:t>
      </w:r>
      <w:r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Pr="00137102">
        <w:rPr>
          <w:b/>
        </w:rPr>
        <w:t>0  мин. «</w:t>
      </w:r>
      <w:r w:rsidR="00AC2161">
        <w:rPr>
          <w:b/>
        </w:rPr>
        <w:t>12</w:t>
      </w:r>
      <w:r w:rsidRPr="00137102">
        <w:rPr>
          <w:b/>
        </w:rPr>
        <w:t xml:space="preserve">» </w:t>
      </w:r>
      <w:r w:rsidR="00247D86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</w:t>
      </w:r>
      <w:r w:rsidRPr="00407D71">
        <w:lastRenderedPageBreak/>
        <w:t>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4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5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lastRenderedPageBreak/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6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</w:t>
      </w:r>
      <w:r w:rsidRPr="0087350D">
        <w:rPr>
          <w:rFonts w:eastAsia="Calibri"/>
        </w:rPr>
        <w:lastRenderedPageBreak/>
        <w:t xml:space="preserve">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7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</w:t>
      </w:r>
      <w:r w:rsidR="001E246D" w:rsidRPr="00E123DD">
        <w:lastRenderedPageBreak/>
        <w:t>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247D86">
        <w:rPr>
          <w:b/>
        </w:rPr>
        <w:t>240 0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247D86">
        <w:rPr>
          <w:rFonts w:eastAsia="Calibri"/>
          <w:b/>
        </w:rPr>
        <w:t>двести сорок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8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lastRenderedPageBreak/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2761B8">
        <w:t xml:space="preserve">нежилого помещения № </w:t>
      </w:r>
      <w:r w:rsidR="00247D86">
        <w:t>67</w:t>
      </w:r>
      <w:r w:rsidR="002761B8">
        <w:t xml:space="preserve"> ул. </w:t>
      </w:r>
      <w:r w:rsidR="00247D86">
        <w:t>Ленина</w:t>
      </w:r>
      <w:r w:rsidR="002761B8">
        <w:t xml:space="preserve">, д. </w:t>
      </w:r>
      <w:r w:rsidR="00247D86">
        <w:t>49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9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0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247D86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1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lastRenderedPageBreak/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CA6D41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CA6D41">
        <w:rPr>
          <w:sz w:val="24"/>
          <w:szCs w:val="24"/>
        </w:rPr>
        <w:t xml:space="preserve">ий </w:t>
      </w:r>
      <w:r w:rsidR="00CA6D41" w:rsidRPr="00E66BC2">
        <w:rPr>
          <w:sz w:val="24"/>
          <w:szCs w:val="24"/>
        </w:rPr>
        <w:t xml:space="preserve"> </w:t>
      </w:r>
      <w:r w:rsidR="00247D86">
        <w:rPr>
          <w:sz w:val="24"/>
          <w:szCs w:val="24"/>
        </w:rPr>
        <w:t>четверг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247D86">
        <w:rPr>
          <w:b/>
        </w:rPr>
        <w:t>50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247D86">
        <w:rPr>
          <w:rFonts w:eastAsia="Calibri"/>
          <w:b/>
        </w:rPr>
        <w:t>пятьдесят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lastRenderedPageBreak/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lastRenderedPageBreak/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3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4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5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6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</w:t>
      </w:r>
      <w:r w:rsidRPr="003E2A9E">
        <w:rPr>
          <w:b/>
          <w:szCs w:val="24"/>
        </w:rPr>
        <w:lastRenderedPageBreak/>
        <w:t xml:space="preserve">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7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7D86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1DEE"/>
    <w:rsid w:val="002E7BEC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420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332E7"/>
    <w:rsid w:val="00443151"/>
    <w:rsid w:val="0044671D"/>
    <w:rsid w:val="004519A4"/>
    <w:rsid w:val="004521BA"/>
    <w:rsid w:val="00463492"/>
    <w:rsid w:val="0046352B"/>
    <w:rsid w:val="00465DEF"/>
    <w:rsid w:val="00470A86"/>
    <w:rsid w:val="004716B6"/>
    <w:rsid w:val="00484F14"/>
    <w:rsid w:val="00495168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342D8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862BD"/>
    <w:rsid w:val="00786CB7"/>
    <w:rsid w:val="00794B42"/>
    <w:rsid w:val="007B4363"/>
    <w:rsid w:val="007B4A3B"/>
    <w:rsid w:val="007D085E"/>
    <w:rsid w:val="007D11F2"/>
    <w:rsid w:val="007D5BE1"/>
    <w:rsid w:val="007E3419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52FF8"/>
    <w:rsid w:val="00A9024F"/>
    <w:rsid w:val="00AC1DC4"/>
    <w:rsid w:val="00AC2161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53FEE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6DF"/>
    <w:rsid w:val="00CC1957"/>
    <w:rsid w:val="00CC2C24"/>
    <w:rsid w:val="00CC73F7"/>
    <w:rsid w:val="00CC7BB3"/>
    <w:rsid w:val="00CD5A88"/>
    <w:rsid w:val="00CE33D8"/>
    <w:rsid w:val="00CF3357"/>
    <w:rsid w:val="00CF447D"/>
    <w:rsid w:val="00D013A7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8CF"/>
    <w:rsid w:val="00ED6DB9"/>
    <w:rsid w:val="00EE126F"/>
    <w:rsid w:val="00EE5CD6"/>
    <w:rsid w:val="00EF1190"/>
    <w:rsid w:val="00EF1434"/>
    <w:rsid w:val="00EF494C"/>
    <w:rsid w:val="00EF6C5D"/>
    <w:rsid w:val="00F02318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634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mailto:property@sberbank-ast.ru" TargetMode="External"/><Relationship Id="rId26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s://torgi.gov.ru/new/private/notice/view/6274d9bc48633d2de7ec8a2c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consultantplus://offline/ref=BC767E132FABCA80E5D8E89BBA81F5C773224245EE3648859B1788C14793711A0B1681896E1FFD4DrCB3Q" TargetMode="External"/><Relationship Id="rId25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consultantplus://offline/ref=A10F5D937D850D81206C84D1299789FB165035802CFCC36DD343B7EAA5B15203F1A2275EC6233CD8L2b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CAList.aspx" TargetMode="External"/><Relationship Id="rId23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hyperlink" Target="consultantplus://offline/ref=309FD773562D93D1254750BC451FFC67D547FE7DF009F6FFE2386DBBC9B6384AA3EA26C53D32677E796AC24C348E3BF25D0491n2hBP" TargetMode="External"/><Relationship Id="rId27" Type="http://schemas.openxmlformats.org/officeDocument/2006/relationships/hyperlink" Target="http://www.admk26.ru/sfery/%20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4CCF-A996-4D5A-837C-91D0BE3A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6688</Words>
  <Characters>38125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12</cp:revision>
  <cp:lastPrinted>2022-05-05T03:37:00Z</cp:lastPrinted>
  <dcterms:created xsi:type="dcterms:W3CDTF">2022-03-29T03:50:00Z</dcterms:created>
  <dcterms:modified xsi:type="dcterms:W3CDTF">2022-05-06T08:21:00Z</dcterms:modified>
</cp:coreProperties>
</file>