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proofErr w:type="spellStart"/>
        <w:r w:rsidR="00C34716" w:rsidRPr="00C34716">
          <w:rPr>
            <w:rStyle w:val="a7"/>
            <w:b/>
            <w:bCs/>
            <w:color w:val="auto"/>
          </w:rPr>
          <w:t>№</w:t>
        </w:r>
        <w:proofErr w:type="spellEnd"/>
        <w:r w:rsidR="002C1710">
          <w:rPr>
            <w:rStyle w:val="a7"/>
            <w:b/>
            <w:bCs/>
            <w:color w:val="auto"/>
          </w:rPr>
          <w:t xml:space="preserve"> </w:t>
        </w:r>
        <w:hyperlink r:id="rId8" w:history="1">
          <w:r w:rsidR="00B5531E">
            <w:rPr>
              <w:rStyle w:val="a7"/>
              <w:rFonts w:ascii="Arial" w:hAnsi="Arial" w:cs="Arial"/>
              <w:b/>
              <w:bCs/>
              <w:color w:val="014DA8"/>
              <w:sz w:val="25"/>
              <w:szCs w:val="25"/>
            </w:rPr>
            <w:t>21000011480000000003</w:t>
          </w:r>
        </w:hyperlink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proofErr w:type="gramStart"/>
      <w:r w:rsidRPr="00D37700">
        <w:rPr>
          <w:color w:val="000000"/>
        </w:rPr>
        <w:t>в</w:t>
      </w:r>
      <w:proofErr w:type="gramEnd"/>
      <w:r w:rsidRPr="00D37700">
        <w:rPr>
          <w:color w:val="000000"/>
        </w:rPr>
        <w:t xml:space="preserve">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61DC5">
        <w:rPr>
          <w:rFonts w:ascii="Times New Roman" w:hAnsi="Times New Roman"/>
          <w:b w:val="0"/>
          <w:i w:val="0"/>
          <w:sz w:val="24"/>
          <w:szCs w:val="24"/>
        </w:rPr>
        <w:t>31.03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161DC5">
        <w:rPr>
          <w:rFonts w:ascii="Times New Roman" w:hAnsi="Times New Roman"/>
          <w:b w:val="0"/>
          <w:i w:val="0"/>
          <w:sz w:val="24"/>
          <w:szCs w:val="24"/>
        </w:rPr>
        <w:t>113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E969C4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Советской Армии, д. 30, </w:t>
      </w:r>
      <w:proofErr w:type="spellStart"/>
      <w:r w:rsidR="002C1710">
        <w:t>пом</w:t>
      </w:r>
      <w:proofErr w:type="spellEnd"/>
      <w:r w:rsidR="002C1710">
        <w:t>. 15/</w:t>
      </w:r>
      <w:r w:rsidR="00E969C4">
        <w:t>5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E969C4">
        <w:t>31,7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C1710">
        <w:t>4 этаж нежилого здания</w:t>
      </w:r>
      <w:r>
        <w:t>.</w:t>
      </w:r>
    </w:p>
    <w:p w:rsidR="002137AC" w:rsidRPr="002137AC" w:rsidRDefault="00E969C4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</w:t>
      </w:r>
      <w:r w:rsidR="006E4E18">
        <w:rPr>
          <w:sz w:val="24"/>
          <w:szCs w:val="24"/>
        </w:rPr>
        <w:t xml:space="preserve">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C1710">
        <w:rPr>
          <w:sz w:val="24"/>
          <w:szCs w:val="24"/>
        </w:rPr>
        <w:t>на 4 этаже четырехэтажного нежилого здания</w:t>
      </w:r>
      <w:r w:rsidR="002C1710" w:rsidRPr="008E0CC4">
        <w:rPr>
          <w:sz w:val="24"/>
          <w:szCs w:val="24"/>
        </w:rPr>
        <w:t xml:space="preserve"> по адресу: </w:t>
      </w:r>
      <w:proofErr w:type="gramStart"/>
      <w:r w:rsidR="002C1710" w:rsidRPr="008E0CC4">
        <w:rPr>
          <w:sz w:val="24"/>
          <w:szCs w:val="24"/>
        </w:rPr>
        <w:t>г</w:t>
      </w:r>
      <w:proofErr w:type="gramEnd"/>
      <w:r w:rsidR="002C1710" w:rsidRPr="008E0CC4">
        <w:rPr>
          <w:sz w:val="24"/>
          <w:szCs w:val="24"/>
        </w:rPr>
        <w:t xml:space="preserve">. Железногорск, ул. </w:t>
      </w:r>
      <w:r w:rsidR="002C1710">
        <w:rPr>
          <w:sz w:val="24"/>
          <w:szCs w:val="24"/>
        </w:rPr>
        <w:t>Советской Армии</w:t>
      </w:r>
      <w:r w:rsidR="002C1710" w:rsidRPr="008E0CC4">
        <w:rPr>
          <w:sz w:val="24"/>
          <w:szCs w:val="24"/>
        </w:rPr>
        <w:t>, д. 3</w:t>
      </w:r>
      <w:r w:rsidR="002C1710">
        <w:rPr>
          <w:sz w:val="24"/>
          <w:szCs w:val="24"/>
        </w:rPr>
        <w:t>0</w:t>
      </w:r>
      <w:r w:rsidR="002C1710" w:rsidRPr="008E0CC4">
        <w:rPr>
          <w:sz w:val="24"/>
          <w:szCs w:val="24"/>
        </w:rPr>
        <w:t>, введенного в эксплуатацию  в 19</w:t>
      </w:r>
      <w:r w:rsidR="002C1710">
        <w:rPr>
          <w:sz w:val="24"/>
          <w:szCs w:val="24"/>
        </w:rPr>
        <w:t>73</w:t>
      </w:r>
      <w:r w:rsidR="002C1710"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Помещение </w:t>
      </w:r>
      <w:r w:rsidR="002C1710">
        <w:rPr>
          <w:sz w:val="24"/>
          <w:szCs w:val="24"/>
        </w:rPr>
        <w:t xml:space="preserve">отдельного входа с улицы не </w:t>
      </w:r>
      <w:r w:rsidR="002C1710" w:rsidRPr="008E0CC4">
        <w:rPr>
          <w:sz w:val="24"/>
          <w:szCs w:val="24"/>
        </w:rPr>
        <w:t>имеет</w:t>
      </w:r>
      <w:r w:rsidR="002C1710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2C1710" w:rsidRPr="008E0CC4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нежилому зданию </w:t>
      </w:r>
      <w:r w:rsidR="002C1710" w:rsidRPr="008E0CC4">
        <w:rPr>
          <w:sz w:val="24"/>
          <w:szCs w:val="24"/>
        </w:rPr>
        <w:t xml:space="preserve">имеются подъездные пути, парковка. Фундамент </w:t>
      </w:r>
      <w:r w:rsidR="002C1710">
        <w:rPr>
          <w:sz w:val="24"/>
          <w:szCs w:val="24"/>
        </w:rPr>
        <w:t xml:space="preserve">здания </w:t>
      </w:r>
      <w:r w:rsidR="002C1710" w:rsidRPr="008E0CC4">
        <w:rPr>
          <w:sz w:val="24"/>
          <w:szCs w:val="24"/>
        </w:rPr>
        <w:t xml:space="preserve">– железобетонный. Наружные стены – </w:t>
      </w:r>
      <w:r w:rsidR="002C1710">
        <w:rPr>
          <w:bCs/>
          <w:sz w:val="24"/>
          <w:szCs w:val="24"/>
        </w:rPr>
        <w:t>к</w:t>
      </w:r>
      <w:r w:rsidR="002C1710" w:rsidRPr="0042009C">
        <w:rPr>
          <w:bCs/>
          <w:sz w:val="24"/>
          <w:szCs w:val="24"/>
        </w:rPr>
        <w:t>аменные и</w:t>
      </w:r>
      <w:r w:rsidR="002C1710">
        <w:rPr>
          <w:b/>
          <w:bCs/>
        </w:rPr>
        <w:t xml:space="preserve"> </w:t>
      </w:r>
      <w:r w:rsidR="002C1710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2C1710" w:rsidRPr="008E0CC4">
        <w:rPr>
          <w:color w:val="FF0000"/>
          <w:sz w:val="24"/>
          <w:szCs w:val="24"/>
        </w:rPr>
        <w:t xml:space="preserve"> </w:t>
      </w:r>
      <w:r w:rsidR="002C1710" w:rsidRPr="00231148">
        <w:rPr>
          <w:sz w:val="24"/>
          <w:szCs w:val="24"/>
        </w:rPr>
        <w:t>Центра</w:t>
      </w:r>
      <w:r w:rsidR="002C1710"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="00F30899" w:rsidRPr="00453002">
        <w:rPr>
          <w:sz w:val="24"/>
          <w:szCs w:val="24"/>
        </w:rPr>
        <w:t>расположен</w:t>
      </w:r>
      <w:r w:rsidR="002C1710">
        <w:rPr>
          <w:sz w:val="24"/>
          <w:szCs w:val="24"/>
        </w:rPr>
        <w:t>о</w:t>
      </w:r>
      <w:r w:rsidR="00F30899" w:rsidRPr="00453002">
        <w:rPr>
          <w:sz w:val="24"/>
          <w:szCs w:val="24"/>
        </w:rPr>
        <w:t xml:space="preserve">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 w:rsidR="002C1710">
        <w:rPr>
          <w:sz w:val="24"/>
          <w:szCs w:val="24"/>
        </w:rPr>
        <w:t>4078,0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0303016</w:t>
      </w:r>
      <w:r w:rsidR="00F30899" w:rsidRPr="00E00A13">
        <w:rPr>
          <w:sz w:val="24"/>
          <w:szCs w:val="24"/>
        </w:rPr>
        <w:t>:</w:t>
      </w:r>
      <w:r w:rsidR="002C1710">
        <w:rPr>
          <w:sz w:val="24"/>
          <w:szCs w:val="24"/>
        </w:rPr>
        <w:t>5667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 xml:space="preserve">местоположение земельного участка: </w:t>
      </w:r>
      <w:r w:rsidR="00F30899" w:rsidRPr="00B22248">
        <w:rPr>
          <w:sz w:val="24"/>
          <w:szCs w:val="24"/>
        </w:rPr>
        <w:t>Российская Федерация,</w:t>
      </w:r>
      <w:r w:rsidR="00F30899" w:rsidRPr="00B22248">
        <w:rPr>
          <w:b/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Красноярский край, </w:t>
      </w:r>
      <w:r w:rsidR="00D7441B">
        <w:rPr>
          <w:sz w:val="24"/>
          <w:szCs w:val="24"/>
        </w:rPr>
        <w:t xml:space="preserve">городской </w:t>
      </w:r>
      <w:proofErr w:type="gramStart"/>
      <w:r w:rsidR="00D7441B">
        <w:rPr>
          <w:sz w:val="24"/>
          <w:szCs w:val="24"/>
        </w:rPr>
        <w:t>округ</w:t>
      </w:r>
      <w:proofErr w:type="gramEnd"/>
      <w:r w:rsidR="00D7441B">
        <w:rPr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ЗАТО </w:t>
      </w:r>
      <w:r w:rsidR="00D7441B">
        <w:rPr>
          <w:sz w:val="24"/>
          <w:szCs w:val="24"/>
        </w:rPr>
        <w:t>город</w:t>
      </w:r>
      <w:r w:rsidR="00F30899" w:rsidRPr="00B22248">
        <w:rPr>
          <w:sz w:val="24"/>
          <w:szCs w:val="24"/>
        </w:rPr>
        <w:t xml:space="preserve"> Железногорск,</w:t>
      </w:r>
      <w:r w:rsidR="00F30899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>г. Железногорск, ул. Советской Армии, земельный участок № 30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2C1710">
        <w:rPr>
          <w:sz w:val="24"/>
          <w:szCs w:val="24"/>
        </w:rPr>
        <w:t xml:space="preserve">объекты административно-делового управления, </w:t>
      </w:r>
      <w:r w:rsidR="00D7441B">
        <w:rPr>
          <w:sz w:val="24"/>
          <w:szCs w:val="24"/>
        </w:rPr>
        <w:t>деловое управление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2C1710">
        <w:rPr>
          <w:sz w:val="24"/>
          <w:szCs w:val="24"/>
        </w:rPr>
        <w:t>зданию,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C1710">
        <w:rPr>
          <w:sz w:val="24"/>
          <w:szCs w:val="24"/>
        </w:rPr>
        <w:t xml:space="preserve">здания,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E969C4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20.07.2021) были признаны несостоявшимися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E969C4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06.10.2021) были признаны несостоявшимися  в связи с отсутствием заявок на участие в продаже;</w:t>
      </w:r>
    </w:p>
    <w:p w:rsidR="00E969C4" w:rsidRPr="00EF1190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продажа объекта без объявления цены (28.12.2021) была признана несостоявшейся в  связи с тем, что ни одно из предложений о цене имущества не было принято комиссией к рассмотрению.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lastRenderedPageBreak/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E969C4">
        <w:t>372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2761B8">
        <w:rPr>
          <w:b/>
        </w:rPr>
        <w:t>апреля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761B8">
        <w:rPr>
          <w:b/>
        </w:rPr>
        <w:t>22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761B8">
        <w:rPr>
          <w:b/>
        </w:rPr>
        <w:t>23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07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2761B8">
        <w:rPr>
          <w:b/>
        </w:rPr>
        <w:t>25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 xml:space="preserve">. Регламентом электронной площадки определены следующие </w:t>
      </w:r>
      <w:r w:rsidR="0096718F">
        <w:rPr>
          <w:bCs/>
          <w:color w:val="000000"/>
        </w:rPr>
        <w:lastRenderedPageBreak/>
        <w:t>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</w:t>
      </w:r>
      <w:r w:rsidRPr="0087350D">
        <w:rPr>
          <w:rFonts w:ascii="Times New Roman" w:hAnsi="Times New Roman"/>
          <w:sz w:val="24"/>
          <w:szCs w:val="24"/>
        </w:rPr>
        <w:lastRenderedPageBreak/>
        <w:t xml:space="preserve">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E969C4">
        <w:rPr>
          <w:b/>
        </w:rPr>
        <w:t>74 4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E969C4">
        <w:rPr>
          <w:rFonts w:eastAsia="Calibri"/>
          <w:b/>
        </w:rPr>
        <w:t>семьдесят четыре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979EB">
        <w:rPr>
          <w:rFonts w:eastAsia="Calibri"/>
          <w:b/>
        </w:rPr>
        <w:t xml:space="preserve">и </w:t>
      </w:r>
      <w:r w:rsidR="00E969C4">
        <w:rPr>
          <w:rFonts w:eastAsia="Calibri"/>
          <w:b/>
        </w:rPr>
        <w:t>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>нежилого помещения № 15/</w:t>
      </w:r>
      <w:r w:rsidR="00E969C4">
        <w:t>5</w:t>
      </w:r>
      <w:r w:rsidR="002761B8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761B8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2761B8">
        <w:rPr>
          <w:sz w:val="24"/>
          <w:szCs w:val="24"/>
        </w:rPr>
        <w:t>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4979EB">
        <w:rPr>
          <w:b/>
        </w:rPr>
        <w:t>1</w:t>
      </w:r>
      <w:r w:rsidR="00E969C4">
        <w:rPr>
          <w:b/>
        </w:rPr>
        <w:t>5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E969C4">
        <w:rPr>
          <w:rFonts w:eastAsia="Calibri"/>
          <w:b/>
        </w:rPr>
        <w:t>пятнадца</w:t>
      </w:r>
      <w:r w:rsidR="002761B8">
        <w:rPr>
          <w:rFonts w:eastAsia="Calibri"/>
          <w:b/>
        </w:rPr>
        <w:t xml:space="preserve">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1DC5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979EB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14794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5531E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6A89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4a9bae87e00d1e65a43998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81AE-708B-4340-AD98-5DF6496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6930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2021-07-09T08:30:00Z</cp:lastPrinted>
  <dcterms:created xsi:type="dcterms:W3CDTF">2022-03-29T03:50:00Z</dcterms:created>
  <dcterms:modified xsi:type="dcterms:W3CDTF">2022-04-04T07:22:00Z</dcterms:modified>
</cp:coreProperties>
</file>