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A02977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депутатов</w:t>
      </w:r>
      <w:proofErr w:type="gramEnd"/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Красноярского края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25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.04.201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/>
          <w:sz w:val="28"/>
          <w:szCs w:val="28"/>
        </w:rPr>
        <w:t>35-194Р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A02977">
        <w:rPr>
          <w:rFonts w:ascii="Times New Roman" w:hAnsi="Times New Roman"/>
          <w:sz w:val="28"/>
          <w:szCs w:val="28"/>
        </w:rPr>
        <w:t xml:space="preserve">Об определении способа расчета расстояния </w:t>
      </w:r>
      <w:r>
        <w:rPr>
          <w:rFonts w:ascii="Times New Roman" w:hAnsi="Times New Roman"/>
          <w:sz w:val="28"/>
          <w:szCs w:val="28"/>
        </w:rPr>
        <w:br/>
      </w:r>
      <w:r w:rsidRPr="00A02977">
        <w:rPr>
          <w:rFonts w:ascii="Times New Roman" w:hAnsi="Times New Roman"/>
          <w:sz w:val="28"/>
          <w:szCs w:val="28"/>
        </w:rPr>
        <w:t xml:space="preserve">от детских, образовательных, медицинских организаций и объектов спорта,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от объектов военного назначения до границ прилегающих территорий, на которых не допускается розничная продажа алкогольной продукции на </w:t>
      </w:r>
      <w:proofErr w:type="gramStart"/>
      <w:r w:rsidRPr="00A02977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02977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2977"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депутатов ЗАТО г. Железногорск Красноярского края </w:t>
      </w:r>
      <w:r w:rsidR="00A02977">
        <w:rPr>
          <w:rFonts w:ascii="Times New Roman" w:hAnsi="Times New Roman"/>
          <w:bCs/>
          <w:color w:val="000000"/>
          <w:sz w:val="28"/>
          <w:szCs w:val="28"/>
        </w:rPr>
        <w:br/>
        <w:t>от 25.04.2013 № 35-194Р «</w:t>
      </w:r>
      <w:r w:rsidR="00A02977" w:rsidRPr="00A02977">
        <w:rPr>
          <w:rFonts w:ascii="Times New Roman" w:hAnsi="Times New Roman"/>
          <w:sz w:val="28"/>
          <w:szCs w:val="28"/>
        </w:rPr>
        <w:t xml:space="preserve">Об определении способа расчета расстояния </w:t>
      </w:r>
      <w:r w:rsidR="00A02977">
        <w:rPr>
          <w:rFonts w:ascii="Times New Roman" w:hAnsi="Times New Roman"/>
          <w:sz w:val="28"/>
          <w:szCs w:val="28"/>
        </w:rPr>
        <w:br/>
      </w:r>
      <w:r w:rsidR="00A02977" w:rsidRPr="00A02977">
        <w:rPr>
          <w:rFonts w:ascii="Times New Roman" w:hAnsi="Times New Roman"/>
          <w:sz w:val="28"/>
          <w:szCs w:val="28"/>
        </w:rPr>
        <w:t xml:space="preserve">от детских, образовательных, медицинских организаций и объектов спорта,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от объектов военного назначения до границ прилегающих территорий, на которых не допускается розничная продажа алкогольной продукции на </w:t>
      </w:r>
      <w:proofErr w:type="gramStart"/>
      <w:r w:rsidR="00A02977" w:rsidRPr="00A0297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02977" w:rsidRPr="00A02977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A02977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A02977">
        <w:rPr>
          <w:rFonts w:ascii="Times New Roman" w:hAnsi="Times New Roman"/>
          <w:sz w:val="28"/>
          <w:szCs w:val="28"/>
        </w:rPr>
        <w:t>04</w:t>
      </w:r>
      <w:r w:rsidR="006E5F65" w:rsidRPr="00336135">
        <w:rPr>
          <w:rFonts w:ascii="Times New Roman" w:hAnsi="Times New Roman"/>
          <w:sz w:val="28"/>
          <w:szCs w:val="28"/>
        </w:rPr>
        <w:t>.0</w:t>
      </w:r>
      <w:r w:rsidR="00A02977">
        <w:rPr>
          <w:rFonts w:ascii="Times New Roman" w:hAnsi="Times New Roman"/>
          <w:sz w:val="28"/>
          <w:szCs w:val="28"/>
        </w:rPr>
        <w:t>3.2020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A02977">
        <w:rPr>
          <w:rFonts w:ascii="Times New Roman" w:hAnsi="Times New Roman"/>
          <w:sz w:val="28"/>
          <w:szCs w:val="28"/>
        </w:rPr>
        <w:t>30.04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20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7</cp:revision>
  <dcterms:created xsi:type="dcterms:W3CDTF">2018-03-12T05:15:00Z</dcterms:created>
  <dcterms:modified xsi:type="dcterms:W3CDTF">2020-03-04T03:16:00Z</dcterms:modified>
</cp:coreProperties>
</file>