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AC6523">
        <w:rPr>
          <w:rFonts w:eastAsia="Calibri"/>
          <w:b/>
          <w:color w:val="000000"/>
        </w:rPr>
        <w:t>3</w:t>
      </w:r>
      <w:r w:rsidR="004C0D39">
        <w:rPr>
          <w:rFonts w:eastAsia="Calibri"/>
          <w:b/>
          <w:color w:val="000000"/>
        </w:rPr>
        <w:t>0</w:t>
      </w:r>
      <w:r w:rsidR="00EE6F63">
        <w:rPr>
          <w:rFonts w:eastAsia="Calibri"/>
          <w:b/>
          <w:color w:val="000000"/>
        </w:rPr>
        <w:t>6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B53F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>полномочиями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B53FFE">
        <w:t>26.10.2023</w:t>
      </w:r>
      <w:r w:rsidR="004E7E56" w:rsidRPr="00D5091A">
        <w:t xml:space="preserve"> № </w:t>
      </w:r>
      <w:r w:rsidR="00B53FFE">
        <w:t>34-381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B53FFE">
        <w:t>3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4C0D39">
        <w:rPr>
          <w:rFonts w:ascii="Times New Roman" w:hAnsi="Times New Roman"/>
          <w:b w:val="0"/>
          <w:i w:val="0"/>
          <w:sz w:val="24"/>
          <w:szCs w:val="24"/>
        </w:rPr>
        <w:t>13</w:t>
      </w:r>
      <w:r w:rsidR="00831727">
        <w:rPr>
          <w:rFonts w:ascii="Times New Roman" w:hAnsi="Times New Roman"/>
          <w:b w:val="0"/>
          <w:i w:val="0"/>
          <w:sz w:val="24"/>
          <w:szCs w:val="24"/>
        </w:rPr>
        <w:t>.05</w:t>
      </w:r>
      <w:r w:rsidR="00B53FFE">
        <w:rPr>
          <w:rFonts w:ascii="Times New Roman" w:hAnsi="Times New Roman"/>
          <w:b w:val="0"/>
          <w:i w:val="0"/>
          <w:sz w:val="24"/>
          <w:szCs w:val="24"/>
        </w:rPr>
        <w:t>.2024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4C0D39">
        <w:rPr>
          <w:rFonts w:ascii="Times New Roman" w:hAnsi="Times New Roman"/>
          <w:b w:val="0"/>
          <w:i w:val="0"/>
          <w:sz w:val="24"/>
          <w:szCs w:val="24"/>
        </w:rPr>
        <w:t>52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>помещения № 15/</w:t>
      </w:r>
      <w:r w:rsidR="004C0D39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помещение</w:t>
      </w:r>
      <w:r w:rsidRPr="00F30899">
        <w:t>;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 xml:space="preserve">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4C0D39">
        <w:t>6</w:t>
      </w:r>
      <w:r w:rsidRPr="00F30899">
        <w:t>.</w:t>
      </w:r>
    </w:p>
    <w:p w:rsidR="0066625E" w:rsidRPr="00F30899" w:rsidRDefault="0066625E" w:rsidP="0066625E">
      <w:pPr>
        <w:ind w:firstLine="284"/>
        <w:jc w:val="both"/>
      </w:pPr>
      <w:r w:rsidRPr="00F30899">
        <w:rPr>
          <w:b/>
        </w:rPr>
        <w:t xml:space="preserve"> Площадь – </w:t>
      </w:r>
      <w:r w:rsidR="004C0D39">
        <w:t>72,2</w:t>
      </w:r>
      <w:r>
        <w:t xml:space="preserve"> </w:t>
      </w:r>
      <w:r w:rsidRPr="00F30899">
        <w:t>кв. метров;</w:t>
      </w:r>
    </w:p>
    <w:p w:rsidR="0066625E" w:rsidRDefault="0066625E" w:rsidP="0066625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66625E" w:rsidRPr="006E4E18" w:rsidRDefault="0066625E" w:rsidP="0066625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66625E" w:rsidRPr="002137AC" w:rsidRDefault="0066625E" w:rsidP="0066625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831727" w:rsidRDefault="00831727" w:rsidP="0083172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были признаны несостоявшимися продажи объекта:</w:t>
      </w:r>
    </w:p>
    <w:p w:rsidR="00831727" w:rsidRDefault="00831727" w:rsidP="0083172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через аукцион 06.07.2020, 28.09.2020, 27.07.2021, 28.06.2022, 18.07.2023;</w:t>
      </w:r>
    </w:p>
    <w:p w:rsidR="00831727" w:rsidRDefault="00831727" w:rsidP="0083172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27.01.2021, 17.12.2021, 25.10.2022, 30.11.2023.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831727">
        <w:t>6</w:t>
      </w:r>
      <w:r w:rsidR="004C0D39">
        <w:t>48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lastRenderedPageBreak/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831727">
        <w:rPr>
          <w:b/>
        </w:rPr>
        <w:t>2</w:t>
      </w:r>
      <w:r w:rsidR="004C0D39">
        <w:rPr>
          <w:b/>
        </w:rPr>
        <w:t>4</w:t>
      </w:r>
      <w:r w:rsidRPr="00137102">
        <w:rPr>
          <w:b/>
        </w:rPr>
        <w:t xml:space="preserve">» </w:t>
      </w:r>
      <w:r w:rsidR="00240682">
        <w:rPr>
          <w:b/>
        </w:rPr>
        <w:t>ма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831727">
        <w:rPr>
          <w:b/>
        </w:rPr>
        <w:t>01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B53FFE">
        <w:rPr>
          <w:b/>
        </w:rPr>
        <w:t>л</w:t>
      </w:r>
      <w:r w:rsidR="0066625E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B53FFE">
        <w:rPr>
          <w:b/>
        </w:rPr>
        <w:t>0</w:t>
      </w:r>
      <w:r w:rsidR="00831727">
        <w:rPr>
          <w:b/>
        </w:rPr>
        <w:t>2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B53FFE">
        <w:rPr>
          <w:b/>
        </w:rPr>
        <w:t>л</w:t>
      </w:r>
      <w:r w:rsidR="0024068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66625E">
        <w:rPr>
          <w:b/>
        </w:rPr>
        <w:t>5</w:t>
      </w:r>
      <w:r w:rsidRPr="00137102">
        <w:rPr>
          <w:b/>
        </w:rPr>
        <w:t xml:space="preserve"> час. </w:t>
      </w:r>
      <w:r w:rsidR="004C0D39">
        <w:rPr>
          <w:b/>
        </w:rPr>
        <w:t>3</w:t>
      </w:r>
      <w:r w:rsidRPr="00137102">
        <w:rPr>
          <w:b/>
        </w:rPr>
        <w:t>0  мин. «</w:t>
      </w:r>
      <w:r w:rsidR="00B53FFE">
        <w:rPr>
          <w:b/>
        </w:rPr>
        <w:t>0</w:t>
      </w:r>
      <w:r w:rsidR="00831727">
        <w:rPr>
          <w:b/>
        </w:rPr>
        <w:t>4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B53FFE">
        <w:rPr>
          <w:b/>
        </w:rPr>
        <w:t>л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lastRenderedPageBreak/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</w:t>
      </w:r>
      <w:r w:rsidRPr="00E05FE0">
        <w:rPr>
          <w:bCs/>
          <w:sz w:val="24"/>
          <w:szCs w:val="24"/>
        </w:rPr>
        <w:lastRenderedPageBreak/>
        <w:t>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87350D">
        <w:rPr>
          <w:rFonts w:eastAsia="Calibri"/>
        </w:rPr>
        <w:lastRenderedPageBreak/>
        <w:t>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4C0D39">
        <w:rPr>
          <w:b/>
        </w:rPr>
        <w:t>64 8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831727">
        <w:rPr>
          <w:rFonts w:eastAsia="Calibri"/>
          <w:b/>
        </w:rPr>
        <w:t>шес</w:t>
      </w:r>
      <w:r w:rsidR="0066625E">
        <w:rPr>
          <w:rFonts w:eastAsia="Calibri"/>
          <w:b/>
        </w:rPr>
        <w:t>т</w:t>
      </w:r>
      <w:r w:rsidR="00143370">
        <w:rPr>
          <w:rFonts w:eastAsia="Calibri"/>
          <w:b/>
        </w:rPr>
        <w:t>ь</w:t>
      </w:r>
      <w:r w:rsidR="00831727">
        <w:rPr>
          <w:rFonts w:eastAsia="Calibri"/>
          <w:b/>
        </w:rPr>
        <w:t>десят</w:t>
      </w:r>
      <w:r w:rsidR="0009570B" w:rsidRPr="00CC7BB3">
        <w:rPr>
          <w:rFonts w:eastAsia="Calibri"/>
          <w:b/>
        </w:rPr>
        <w:t xml:space="preserve"> </w:t>
      </w:r>
      <w:r w:rsidR="004C0D39">
        <w:rPr>
          <w:rFonts w:eastAsia="Calibri"/>
          <w:b/>
        </w:rPr>
        <w:t xml:space="preserve">четыре </w:t>
      </w:r>
      <w:r w:rsidR="0032357E" w:rsidRPr="00CC7BB3">
        <w:rPr>
          <w:rFonts w:eastAsia="Calibri"/>
          <w:b/>
        </w:rPr>
        <w:t>тысяч</w:t>
      </w:r>
      <w:r w:rsidR="004C0D39">
        <w:rPr>
          <w:rFonts w:eastAsia="Calibri"/>
          <w:b/>
        </w:rPr>
        <w:t>и восемьсот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831727" w:rsidRDefault="00AC54E0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831727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i/>
          <w:iCs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 xml:space="preserve">В </w:t>
      </w:r>
      <w:proofErr w:type="gramStart"/>
      <w:r w:rsidRPr="009D3B08">
        <w:rPr>
          <w:rFonts w:eastAsia="Calibri"/>
        </w:rPr>
        <w:t>случае</w:t>
      </w:r>
      <w:proofErr w:type="gramEnd"/>
      <w:r w:rsidRPr="009D3B08">
        <w:rPr>
          <w:rFonts w:eastAsia="Calibri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eastAsia="Calibri"/>
        </w:rPr>
        <w:t>О</w:t>
      </w:r>
      <w:r w:rsidRPr="009D3B08">
        <w:rPr>
          <w:rFonts w:eastAsia="Calibri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eastAsia="Calibri"/>
          </w:rPr>
          <w:t>property@sberbank-ast.ru</w:t>
        </w:r>
      </w:hyperlink>
      <w:r w:rsidRPr="009D3B08">
        <w:rPr>
          <w:rFonts w:eastAsia="Calibri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lastRenderedPageBreak/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F7B0E">
        <w:t>помещения № 15/</w:t>
      </w:r>
      <w:r w:rsidR="004C0D39">
        <w:t>6</w:t>
      </w:r>
      <w:r w:rsidR="008F7B0E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lastRenderedPageBreak/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53FFE">
        <w:t>4</w:t>
      </w:r>
      <w:r w:rsidR="00053585" w:rsidRPr="00120E34">
        <w:t>/</w:t>
      </w:r>
      <w:r w:rsidR="00831727">
        <w:t>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831727" w:rsidRPr="00E66BC2" w:rsidRDefault="00AC54E0" w:rsidP="00831727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</w:t>
      </w:r>
      <w:r w:rsidR="00831727">
        <w:rPr>
          <w:sz w:val="24"/>
          <w:szCs w:val="24"/>
        </w:rPr>
        <w:t xml:space="preserve">заинтересованными лицами </w:t>
      </w:r>
      <w:r w:rsidR="00831727" w:rsidRPr="00E66BC2">
        <w:rPr>
          <w:sz w:val="24"/>
          <w:szCs w:val="24"/>
        </w:rPr>
        <w:t>кажд</w:t>
      </w:r>
      <w:r w:rsidR="00831727">
        <w:rPr>
          <w:sz w:val="24"/>
          <w:szCs w:val="24"/>
        </w:rPr>
        <w:t>ую</w:t>
      </w:r>
      <w:r w:rsidR="00831727" w:rsidRPr="00E66BC2">
        <w:rPr>
          <w:sz w:val="24"/>
          <w:szCs w:val="24"/>
        </w:rPr>
        <w:t xml:space="preserve"> рабоч</w:t>
      </w:r>
      <w:r w:rsidR="00831727">
        <w:rPr>
          <w:sz w:val="24"/>
          <w:szCs w:val="24"/>
        </w:rPr>
        <w:t>ую среду</w:t>
      </w:r>
      <w:r w:rsidR="00831727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831727">
        <w:rPr>
          <w:sz w:val="24"/>
          <w:szCs w:val="24"/>
        </w:rPr>
        <w:t xml:space="preserve">8 (3919) </w:t>
      </w:r>
      <w:r w:rsidR="00831727" w:rsidRPr="00E66BC2">
        <w:rPr>
          <w:sz w:val="24"/>
          <w:szCs w:val="24"/>
        </w:rPr>
        <w:t>76-56-35,76-56-43.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4C0D39">
        <w:rPr>
          <w:b/>
        </w:rPr>
        <w:t>20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4C0D39">
        <w:rPr>
          <w:rFonts w:eastAsia="Calibri"/>
          <w:b/>
        </w:rPr>
        <w:t>дв</w:t>
      </w:r>
      <w:r w:rsidR="00831727">
        <w:rPr>
          <w:rFonts w:eastAsia="Calibri"/>
          <w:b/>
        </w:rPr>
        <w:t>адцать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</w:t>
      </w:r>
      <w:r w:rsidR="00E85A71" w:rsidRPr="0087350D">
        <w:rPr>
          <w:rFonts w:eastAsia="Calibri"/>
        </w:rPr>
        <w:lastRenderedPageBreak/>
        <w:t xml:space="preserve">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292DDE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B53FFE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B53FFE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B53FFE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B53FFE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B53FFE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4C0D39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92DDE"/>
    <w:rsid w:val="002B0A2F"/>
    <w:rsid w:val="002C1710"/>
    <w:rsid w:val="002C7982"/>
    <w:rsid w:val="002D0950"/>
    <w:rsid w:val="002D1EB9"/>
    <w:rsid w:val="002E03C5"/>
    <w:rsid w:val="002E1DEE"/>
    <w:rsid w:val="002E65D9"/>
    <w:rsid w:val="002E7BEC"/>
    <w:rsid w:val="002F48C8"/>
    <w:rsid w:val="002F4D6C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2A4B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0D39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46AB"/>
    <w:rsid w:val="006173C1"/>
    <w:rsid w:val="0062672F"/>
    <w:rsid w:val="00627500"/>
    <w:rsid w:val="00641C42"/>
    <w:rsid w:val="00651632"/>
    <w:rsid w:val="006546CC"/>
    <w:rsid w:val="00657BD0"/>
    <w:rsid w:val="00660611"/>
    <w:rsid w:val="0066625E"/>
    <w:rsid w:val="006911C4"/>
    <w:rsid w:val="00693BE8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A5B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1727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E4CAC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809C7"/>
    <w:rsid w:val="00981D57"/>
    <w:rsid w:val="00983A22"/>
    <w:rsid w:val="009851A9"/>
    <w:rsid w:val="00995BB4"/>
    <w:rsid w:val="009A3369"/>
    <w:rsid w:val="009B2E4D"/>
    <w:rsid w:val="009C190E"/>
    <w:rsid w:val="009C310A"/>
    <w:rsid w:val="009C6B47"/>
    <w:rsid w:val="009C6D0F"/>
    <w:rsid w:val="009D26FB"/>
    <w:rsid w:val="009D3B08"/>
    <w:rsid w:val="009F1435"/>
    <w:rsid w:val="009F3059"/>
    <w:rsid w:val="009F787A"/>
    <w:rsid w:val="00A14A80"/>
    <w:rsid w:val="00A52FF8"/>
    <w:rsid w:val="00AC1DC4"/>
    <w:rsid w:val="00AC4C64"/>
    <w:rsid w:val="00AC54E0"/>
    <w:rsid w:val="00AC6523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3FFE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E6F63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834E6"/>
    <w:rsid w:val="00F96597"/>
    <w:rsid w:val="00F97AEB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238E-C1F2-4DD3-B351-F3DF959C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7068</Words>
  <Characters>40292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47266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22</cp:revision>
  <cp:lastPrinted>2024-04-18T09:13:00Z</cp:lastPrinted>
  <dcterms:created xsi:type="dcterms:W3CDTF">2022-07-21T03:57:00Z</dcterms:created>
  <dcterms:modified xsi:type="dcterms:W3CDTF">2024-05-17T04:30:00Z</dcterms:modified>
</cp:coreProperties>
</file>