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9A" w:rsidRPr="00AB1CDF" w:rsidRDefault="0059739A" w:rsidP="0059739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3C05">
        <w:rPr>
          <w:rFonts w:ascii="Times New Roman" w:hAnsi="Times New Roman" w:cs="Times New Roman"/>
          <w:sz w:val="28"/>
          <w:szCs w:val="28"/>
        </w:rPr>
        <w:t>3</w:t>
      </w:r>
      <w:r w:rsidRPr="00AB1CDF">
        <w:rPr>
          <w:rFonts w:ascii="Times New Roman" w:hAnsi="Times New Roman" w:cs="Times New Roman"/>
          <w:sz w:val="28"/>
          <w:szCs w:val="28"/>
        </w:rPr>
        <w:t>.1</w:t>
      </w:r>
    </w:p>
    <w:p w:rsidR="0059739A" w:rsidRDefault="0059739A" w:rsidP="0059739A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 xml:space="preserve">Охрана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ЗАТО Железногорск»</w:t>
      </w:r>
    </w:p>
    <w:p w:rsidR="00AE37C0" w:rsidRDefault="0057590B" w:rsidP="0057590B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 xml:space="preserve">. 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536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5368D9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37C0" w:rsidRPr="00BD63C7" w:rsidRDefault="005368D9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1CDF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F1B2C" w:rsidRDefault="009D143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</w:p>
          <w:p w:rsidR="00AE37C0" w:rsidRPr="00C9531C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B1CDF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AE37C0" w:rsidRDefault="00C9531C" w:rsidP="00A25B96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</w:t>
            </w:r>
            <w:r w:rsidR="006137EB">
              <w:rPr>
                <w:rFonts w:ascii="Times New Roman" w:hAnsi="Times New Roman"/>
                <w:sz w:val="28"/>
                <w:szCs w:val="28"/>
              </w:rPr>
              <w:t>.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</w:t>
            </w:r>
            <w:r w:rsidR="00AB1CDF">
              <w:t>2</w:t>
            </w:r>
            <w:r w:rsidR="00782DBC">
              <w:t>5</w:t>
            </w:r>
            <w:r w:rsidR="005C3455">
              <w:t xml:space="preserve"> - 20</w:t>
            </w:r>
            <w:r w:rsidR="00847C4C">
              <w:t>2</w:t>
            </w:r>
            <w:r w:rsidR="00782DBC">
              <w:t>7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D459B">
        <w:trPr>
          <w:trHeight w:val="3661"/>
        </w:trPr>
        <w:tc>
          <w:tcPr>
            <w:tcW w:w="2977" w:type="dxa"/>
          </w:tcPr>
          <w:p w:rsidR="00E802CB" w:rsidRPr="00AB1CDF" w:rsidRDefault="00AB1CDF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CD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782DBC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30 528 437</w:t>
            </w:r>
            <w:r w:rsidR="00311E34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2DBC">
              <w:rPr>
                <w:rFonts w:ascii="Times New Roman" w:hAnsi="Times New Roman" w:cs="Times New Roman"/>
                <w:sz w:val="28"/>
                <w:szCs w:val="28"/>
              </w:rPr>
              <w:t>30 528 437</w:t>
            </w:r>
            <w:r w:rsidR="00752B48" w:rsidRPr="002C73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782DBC">
              <w:rPr>
                <w:rFonts w:ascii="Times New Roman" w:hAnsi="Times New Roman"/>
                <w:sz w:val="28"/>
                <w:szCs w:val="28"/>
              </w:rPr>
              <w:t>30 528 437</w:t>
            </w:r>
            <w:r w:rsidR="00D67B9A" w:rsidRPr="00D67B9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B1CDF">
              <w:rPr>
                <w:rFonts w:ascii="Times New Roman" w:hAnsi="Times New Roman"/>
                <w:sz w:val="28"/>
                <w:szCs w:val="28"/>
              </w:rPr>
              <w:t>2</w:t>
            </w:r>
            <w:r w:rsidR="00782DBC">
              <w:rPr>
                <w:rFonts w:ascii="Times New Roman" w:hAnsi="Times New Roman"/>
                <w:sz w:val="28"/>
                <w:szCs w:val="28"/>
              </w:rPr>
              <w:t>5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782DBC">
              <w:rPr>
                <w:rFonts w:ascii="Times New Roman" w:hAnsi="Times New Roman"/>
                <w:sz w:val="28"/>
                <w:szCs w:val="28"/>
              </w:rPr>
              <w:t>9 </w:t>
            </w:r>
            <w:r w:rsidR="00D67B9A" w:rsidRPr="00D67B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82DBC">
              <w:rPr>
                <w:rFonts w:ascii="Times New Roman" w:hAnsi="Times New Roman" w:cs="Times New Roman"/>
                <w:sz w:val="28"/>
                <w:szCs w:val="28"/>
              </w:rPr>
              <w:t>85 898</w:t>
            </w:r>
            <w:r w:rsidR="00D67B9A" w:rsidRPr="00D67B9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</w:t>
            </w:r>
            <w:r w:rsidR="00782DBC">
              <w:rPr>
                <w:rFonts w:ascii="Times New Roman" w:hAnsi="Times New Roman"/>
                <w:sz w:val="28"/>
                <w:szCs w:val="28"/>
              </w:rPr>
              <w:t>6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82DBC">
              <w:rPr>
                <w:rFonts w:ascii="Times New Roman" w:hAnsi="Times New Roman"/>
                <w:sz w:val="28"/>
                <w:szCs w:val="28"/>
              </w:rPr>
              <w:t>10 168 958</w:t>
            </w:r>
            <w:r w:rsidR="000F18A3" w:rsidRPr="000F18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52B48">
              <w:rPr>
                <w:rFonts w:ascii="Times New Roman" w:hAnsi="Times New Roman"/>
                <w:sz w:val="28"/>
                <w:szCs w:val="28"/>
              </w:rPr>
              <w:t>00</w:t>
            </w:r>
            <w:r w:rsidR="00752B48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82DBC">
              <w:rPr>
                <w:rFonts w:ascii="Times New Roman" w:hAnsi="Times New Roman"/>
                <w:sz w:val="28"/>
                <w:szCs w:val="28"/>
              </w:rPr>
              <w:t>7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782DBC">
              <w:rPr>
                <w:rFonts w:ascii="Times New Roman" w:hAnsi="Times New Roman"/>
                <w:sz w:val="28"/>
                <w:szCs w:val="28"/>
              </w:rPr>
              <w:t>10 573 581</w:t>
            </w:r>
            <w:r w:rsidR="000F18A3" w:rsidRPr="000F18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52B48">
              <w:rPr>
                <w:rFonts w:ascii="Times New Roman" w:hAnsi="Times New Roman"/>
                <w:sz w:val="28"/>
                <w:szCs w:val="28"/>
              </w:rPr>
              <w:t>00</w:t>
            </w:r>
            <w:r w:rsidR="00752B48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D459B" w:rsidRPr="00CC4A85" w:rsidRDefault="00756981" w:rsidP="00ED459B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ED459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802CB" w:rsidRPr="0004633A" w:rsidRDefault="00E802CB" w:rsidP="00596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B4C86" w:rsidRDefault="00CB4C86" w:rsidP="00684C8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84C8E" w:rsidRPr="005368D9" w:rsidRDefault="00684C8E" w:rsidP="00684C8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 Основные разделы Подпрограммы №1</w:t>
      </w:r>
    </w:p>
    <w:p w:rsidR="00684C8E" w:rsidRPr="005368D9" w:rsidRDefault="00684C8E" w:rsidP="00684C8E">
      <w:pPr>
        <w:widowControl w:val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2.1. Постановка муниципальной  проблемы и обоснование необходимости разработки Подпрограммы № 1</w:t>
      </w:r>
    </w:p>
    <w:p w:rsidR="006B738E" w:rsidRDefault="009F1B2C" w:rsidP="00CB4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1B2C">
        <w:rPr>
          <w:rFonts w:ascii="Times New Roman" w:hAnsi="Times New Roman" w:cs="Times New Roman"/>
          <w:sz w:val="28"/>
          <w:szCs w:val="28"/>
        </w:rPr>
        <w:lastRenderedPageBreak/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hAnsi="Times New Roman" w:cs="Times New Roman"/>
          <w:sz w:val="28"/>
          <w:szCs w:val="28"/>
        </w:rPr>
        <w:t xml:space="preserve"> участие в организации деятельности </w:t>
      </w:r>
      <w:r w:rsidR="006B738E">
        <w:rPr>
          <w:rFonts w:ascii="Times New Roman" w:hAnsi="Times New Roman" w:cs="Times New Roman"/>
          <w:sz w:val="28"/>
          <w:szCs w:val="28"/>
        </w:rPr>
        <w:t>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="00CB4C86">
        <w:rPr>
          <w:rFonts w:ascii="Times New Roman" w:hAnsi="Times New Roman" w:cs="Times New Roman"/>
          <w:sz w:val="28"/>
          <w:szCs w:val="28"/>
        </w:rPr>
        <w:t>, осуществления выявления и ликвидации объектов накопленного вреда окружающей среде</w:t>
      </w:r>
      <w:r w:rsidR="006B73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3FA5" w:rsidRDefault="009F1B2C" w:rsidP="00CB4C86">
      <w:pPr>
        <w:spacing w:after="0" w:line="240" w:lineRule="auto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9A9" w:rsidRDefault="00CF3FA5" w:rsidP="00CB4C8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Додоново на </w:t>
      </w:r>
      <w:r w:rsidR="00752B48">
        <w:rPr>
          <w:rFonts w:ascii="Times New Roman" w:hAnsi="Times New Roman" w:cs="Times New Roman"/>
          <w:sz w:val="28"/>
          <w:szCs w:val="28"/>
        </w:rPr>
        <w:t>полигон</w:t>
      </w:r>
      <w:r w:rsidR="005859A9">
        <w:rPr>
          <w:rFonts w:ascii="Times New Roman" w:hAnsi="Times New Roman" w:cs="Times New Roman"/>
          <w:sz w:val="28"/>
          <w:szCs w:val="28"/>
        </w:rPr>
        <w:t xml:space="preserve"> ООО «РостТех».</w:t>
      </w:r>
      <w:r w:rsidR="00752B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Бывают случаи</w:t>
      </w:r>
      <w:r w:rsidR="005859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>тся на полигон ТБО</w:t>
      </w:r>
      <w:r w:rsidR="005859A9">
        <w:rPr>
          <w:rFonts w:ascii="Times New Roman" w:hAnsi="Times New Roman" w:cs="Times New Roman"/>
          <w:sz w:val="28"/>
          <w:szCs w:val="28"/>
        </w:rPr>
        <w:t>.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859A9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 xml:space="preserve">Количество имеющихся в городе урн не соответствует </w:t>
      </w:r>
      <w:r w:rsidR="005859A9">
        <w:rPr>
          <w:rFonts w:ascii="Times New Roman" w:hAnsi="Times New Roman"/>
          <w:b w:val="0"/>
          <w:sz w:val="28"/>
          <w:szCs w:val="24"/>
        </w:rPr>
        <w:t>санитарным требованиям.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2.2. Основная цель, задачи и сроки выполнения 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Подпрограммы № 1, показатели результативности</w:t>
      </w:r>
    </w:p>
    <w:p w:rsidR="00821371" w:rsidRPr="00684C8E" w:rsidRDefault="005368D9" w:rsidP="005368D9">
      <w:pPr>
        <w:pStyle w:val="ConsPlusTitle"/>
        <w:ind w:left="-113" w:right="227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21371">
        <w:rPr>
          <w:rFonts w:ascii="Times New Roman" w:hAnsi="Times New Roman"/>
          <w:b w:val="0"/>
          <w:sz w:val="28"/>
          <w:szCs w:val="28"/>
        </w:rPr>
        <w:t>Цель</w:t>
      </w:r>
      <w:r>
        <w:rPr>
          <w:rFonts w:ascii="Times New Roman" w:hAnsi="Times New Roman"/>
          <w:b w:val="0"/>
          <w:sz w:val="28"/>
          <w:szCs w:val="28"/>
        </w:rPr>
        <w:t>:</w:t>
      </w:r>
      <w:r w:rsidR="0082137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="00821371" w:rsidRPr="00684C8E">
        <w:rPr>
          <w:rFonts w:ascii="Times New Roman" w:hAnsi="Times New Roman"/>
          <w:b w:val="0"/>
          <w:sz w:val="28"/>
          <w:szCs w:val="28"/>
        </w:rPr>
        <w:t xml:space="preserve">нижение негативного воздействия твердых коммунальных отходов на </w:t>
      </w:r>
      <w:r>
        <w:rPr>
          <w:rFonts w:ascii="Times New Roman" w:hAnsi="Times New Roman"/>
          <w:b w:val="0"/>
          <w:sz w:val="28"/>
          <w:szCs w:val="28"/>
        </w:rPr>
        <w:t>о</w:t>
      </w:r>
      <w:r w:rsidR="00821371" w:rsidRPr="00684C8E">
        <w:rPr>
          <w:rFonts w:ascii="Times New Roman" w:hAnsi="Times New Roman"/>
          <w:b w:val="0"/>
          <w:sz w:val="28"/>
          <w:szCs w:val="28"/>
        </w:rPr>
        <w:t>кружающую среду и здоровье населения.</w:t>
      </w:r>
    </w:p>
    <w:p w:rsidR="00ED459B" w:rsidRDefault="00821371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Задача</w:t>
      </w:r>
      <w:r w:rsidRPr="008F204A">
        <w:rPr>
          <w:rFonts w:ascii="Times New Roman" w:hAnsi="Times New Roman"/>
          <w:sz w:val="28"/>
          <w:szCs w:val="28"/>
        </w:rPr>
        <w:t xml:space="preserve">. </w:t>
      </w:r>
      <w:r w:rsidR="00ED459B">
        <w:rPr>
          <w:rFonts w:ascii="Times New Roman" w:hAnsi="Times New Roman"/>
          <w:sz w:val="28"/>
          <w:szCs w:val="28"/>
        </w:rPr>
        <w:t>Участие в организации сбора, транспортирования, обработки, утилизации, обезвреживани</w:t>
      </w:r>
      <w:r w:rsidR="00FF141E">
        <w:rPr>
          <w:rFonts w:ascii="Times New Roman" w:hAnsi="Times New Roman"/>
          <w:sz w:val="28"/>
          <w:szCs w:val="28"/>
        </w:rPr>
        <w:t>я</w:t>
      </w:r>
      <w:r w:rsidR="00ED459B">
        <w:rPr>
          <w:rFonts w:ascii="Times New Roman" w:hAnsi="Times New Roman"/>
          <w:sz w:val="28"/>
          <w:szCs w:val="28"/>
        </w:rPr>
        <w:t xml:space="preserve"> и размещения твердых коммунальных отходов.</w:t>
      </w:r>
    </w:p>
    <w:p w:rsidR="00821371" w:rsidRPr="002338D8" w:rsidRDefault="00ED459B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2338D8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решение данной задачи, предусматривают ликвидацию несанкционированных свалок на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ЗАТО Железногорск. В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данной задачи предусматривается в будущем выполнение работ по материально-техническому обеспечению системы контроля за несанкционированным размещением отходов.</w:t>
      </w:r>
    </w:p>
    <w:p w:rsidR="00821371" w:rsidRPr="00FC4C1E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lastRenderedPageBreak/>
        <w:t xml:space="preserve">Срок выполнения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DBC">
        <w:rPr>
          <w:rFonts w:ascii="Times New Roman" w:hAnsi="Times New Roman" w:cs="Times New Roman"/>
          <w:sz w:val="28"/>
          <w:szCs w:val="28"/>
        </w:rPr>
        <w:t>5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2DBC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D459B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</w:t>
      </w:r>
      <w:r w:rsidRPr="00FC4C1E">
        <w:rPr>
          <w:rFonts w:ascii="Times New Roman" w:hAnsi="Times New Roman" w:cs="Times New Roman"/>
          <w:sz w:val="28"/>
          <w:szCs w:val="28"/>
        </w:rPr>
        <w:t xml:space="preserve">указаны в приложении </w:t>
      </w:r>
    </w:p>
    <w:p w:rsidR="00821371" w:rsidRPr="00FC4C1E" w:rsidRDefault="00821371" w:rsidP="00ED459B">
      <w:pPr>
        <w:widowControl w:val="0"/>
        <w:spacing w:after="0" w:line="240" w:lineRule="auto"/>
        <w:ind w:left="-5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№ 1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821371" w:rsidRDefault="00821371" w:rsidP="00821371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38D8">
        <w:rPr>
          <w:rFonts w:ascii="Times New Roman" w:hAnsi="Times New Roman" w:cs="Times New Roman"/>
          <w:sz w:val="28"/>
          <w:szCs w:val="28"/>
        </w:rPr>
        <w:t>Система мероприятий подпрограммы предусматривает выполнение работ по обеспечению санитарно-эпидемиологического благополучия населения посредством ликвидации несанкционированных свалок.</w:t>
      </w:r>
    </w:p>
    <w:p w:rsidR="00821371" w:rsidRPr="005368D9" w:rsidRDefault="00821371" w:rsidP="00821371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2.3. Механизм реализации Подпрограммы № 1</w:t>
      </w:r>
    </w:p>
    <w:p w:rsidR="00821371" w:rsidRPr="007C5ED3" w:rsidRDefault="00821371" w:rsidP="008213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ED3">
        <w:rPr>
          <w:rFonts w:ascii="Times New Roman" w:hAnsi="Times New Roman" w:cs="Times New Roman"/>
          <w:sz w:val="28"/>
          <w:szCs w:val="28"/>
        </w:rPr>
        <w:t>Финансирование подпрограммных мероприятий осуществляется в следующих формах:</w:t>
      </w:r>
    </w:p>
    <w:p w:rsidR="00821371" w:rsidRPr="00821371" w:rsidRDefault="006B738E" w:rsidP="008213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821371">
        <w:rPr>
          <w:rFonts w:ascii="Times New Roman" w:hAnsi="Times New Roman" w:cs="Times New Roman"/>
          <w:sz w:val="28"/>
          <w:szCs w:val="28"/>
        </w:rPr>
        <w:t>- бюджетные ассигнования на закупку товаров, работ, услуг для обеспечения муниципальных нужд в соответствии с действующим законодательством.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Главными распорядителем бюджетных средств, выделенных из местного бюджета на реализацию мероприятий подпрограммы, является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</w:t>
      </w:r>
      <w:r w:rsidR="004B6777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из местного бюджета, осуществляют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</w:t>
      </w:r>
      <w:r w:rsidR="002A7944">
        <w:rPr>
          <w:rFonts w:ascii="Times New Roman" w:hAnsi="Times New Roman" w:cs="Times New Roman"/>
          <w:sz w:val="28"/>
          <w:szCs w:val="28"/>
        </w:rPr>
        <w:t>ая</w:t>
      </w:r>
      <w:r w:rsidRPr="00821371">
        <w:rPr>
          <w:rFonts w:ascii="Times New Roman" w:hAnsi="Times New Roman" w:cs="Times New Roman"/>
          <w:sz w:val="28"/>
          <w:szCs w:val="28"/>
        </w:rPr>
        <w:t xml:space="preserve"> явля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>тся получател</w:t>
      </w:r>
      <w:r w:rsidR="002A7944">
        <w:rPr>
          <w:rFonts w:ascii="Times New Roman" w:hAnsi="Times New Roman" w:cs="Times New Roman"/>
          <w:sz w:val="28"/>
          <w:szCs w:val="28"/>
        </w:rPr>
        <w:t>ем</w:t>
      </w:r>
      <w:r w:rsidRPr="00821371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 xml:space="preserve">т ответственность за их целевое использование. </w:t>
      </w:r>
    </w:p>
    <w:p w:rsidR="00821371" w:rsidRPr="00821371" w:rsidRDefault="00821371" w:rsidP="008213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Органам, ответственным  за проведение мероприятий, в рамках которых предполагается размещение муниципального заказа,  необходимо осуществлять привлечение к выполнению работ юридических и физических лиц, по результатам размещения муниципального заказа, проведенного в  соответствии с действующим законодательством.</w:t>
      </w:r>
    </w:p>
    <w:p w:rsidR="0057590B" w:rsidRDefault="0057590B" w:rsidP="0082137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371" w:rsidRPr="005368D9" w:rsidRDefault="00821371" w:rsidP="0082137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1 и контроль </w:t>
      </w:r>
    </w:p>
    <w:p w:rsidR="00821371" w:rsidRPr="005368D9" w:rsidRDefault="00821371" w:rsidP="00821371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lastRenderedPageBreak/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821371" w:rsidRPr="00821371" w:rsidRDefault="00821371" w:rsidP="00722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B30E5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r w:rsidR="00F6026A">
        <w:rPr>
          <w:rFonts w:ascii="Times New Roman" w:hAnsi="Times New Roman" w:cs="Times New Roman"/>
          <w:sz w:val="28"/>
          <w:szCs w:val="28"/>
        </w:rPr>
        <w:t xml:space="preserve">Счетная </w:t>
      </w:r>
      <w:proofErr w:type="gramStart"/>
      <w:r w:rsidR="00F6026A">
        <w:rPr>
          <w:rFonts w:ascii="Times New Roman" w:hAnsi="Times New Roman" w:cs="Times New Roman"/>
          <w:sz w:val="28"/>
          <w:szCs w:val="28"/>
        </w:rPr>
        <w:t>палата</w:t>
      </w:r>
      <w:proofErr w:type="gramEnd"/>
      <w:r w:rsidR="00F6026A">
        <w:rPr>
          <w:rFonts w:ascii="Times New Roman" w:hAnsi="Times New Roman" w:cs="Times New Roman"/>
          <w:sz w:val="28"/>
          <w:szCs w:val="28"/>
        </w:rPr>
        <w:t xml:space="preserve"> </w:t>
      </w:r>
      <w:r w:rsidR="002F731A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Управлению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2A7944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6B738E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осуществляется посредством закупки товаров, работ, услуг для обеспечения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нужд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B73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7A34" w:rsidRP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в сроки и по форме, установленной </w:t>
      </w:r>
      <w:r w:rsidR="0072216E">
        <w:rPr>
          <w:rFonts w:ascii="Times New Roman" w:hAnsi="Times New Roman"/>
          <w:sz w:val="28"/>
          <w:szCs w:val="28"/>
        </w:rPr>
        <w:t xml:space="preserve">Управлением городского хозяйства </w:t>
      </w:r>
      <w:proofErr w:type="gramStart"/>
      <w:r w:rsidR="0072216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2216E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Отчет о реализации муниципальной программы за первое полугодие текущего года представляется </w:t>
      </w:r>
      <w:r w:rsidR="0072216E">
        <w:rPr>
          <w:rFonts w:ascii="Times New Roman" w:hAnsi="Times New Roman"/>
          <w:sz w:val="28"/>
          <w:szCs w:val="28"/>
        </w:rPr>
        <w:t>Управлением городского хозяйства</w:t>
      </w:r>
      <w:r>
        <w:rPr>
          <w:rFonts w:ascii="Times New Roman" w:hAnsi="Times New Roman"/>
          <w:sz w:val="28"/>
          <w:szCs w:val="28"/>
        </w:rPr>
        <w:t xml:space="preserve"> одновременно в Управление экономики и планирования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и Финансовое управление Администрации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ЗАТО Железногорск, утвержденному постановлением Администрации ЗАТО г. Железногорск от 21.08.2013 № 1301.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821371" w:rsidRPr="00821371" w:rsidRDefault="00821371" w:rsidP="007A26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отчетным, на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="007A269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21371">
        <w:rPr>
          <w:rFonts w:ascii="Times New Roman" w:hAnsi="Times New Roman" w:cs="Times New Roman"/>
          <w:sz w:val="28"/>
          <w:szCs w:val="28"/>
        </w:rPr>
        <w:t>ЗАТО</w:t>
      </w:r>
      <w:r w:rsidR="007A269A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Железногорск в сети Интернет. </w:t>
      </w:r>
    </w:p>
    <w:p w:rsidR="0072216E" w:rsidRDefault="0072216E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1371" w:rsidRPr="005368D9" w:rsidRDefault="00821371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№1</w:t>
      </w:r>
    </w:p>
    <w:p w:rsidR="00821371" w:rsidRPr="00821371" w:rsidRDefault="00821371" w:rsidP="007221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6E" w:rsidRDefault="00821371" w:rsidP="0072216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821371" w:rsidRPr="00821371" w:rsidRDefault="00821371" w:rsidP="0072216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№ 2 к Подпрограмме № 1.</w:t>
      </w:r>
    </w:p>
    <w:p w:rsidR="00821371" w:rsidRDefault="00821371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7590B" w:rsidRPr="00821371" w:rsidRDefault="0057590B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21371" w:rsidRPr="00821371" w:rsidRDefault="00782DBC" w:rsidP="00014D0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21371" w:rsidRPr="0082137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21371" w:rsidRPr="00821371">
        <w:rPr>
          <w:rFonts w:ascii="Times New Roman" w:hAnsi="Times New Roman" w:cs="Times New Roman"/>
          <w:sz w:val="28"/>
          <w:szCs w:val="28"/>
        </w:rPr>
        <w:t xml:space="preserve"> УГХ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F18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F18A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sectPr w:rsidR="00821371" w:rsidRPr="00821371" w:rsidSect="00CB4C86">
      <w:headerReference w:type="default" r:id="rId8"/>
      <w:pgSz w:w="11905" w:h="16838"/>
      <w:pgMar w:top="426" w:right="851" w:bottom="426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2DD" w:rsidRDefault="007C12DD" w:rsidP="009644EE">
      <w:pPr>
        <w:spacing w:after="0" w:line="240" w:lineRule="auto"/>
      </w:pPr>
      <w:r>
        <w:separator/>
      </w:r>
    </w:p>
  </w:endnote>
  <w:endnote w:type="continuationSeparator" w:id="0">
    <w:p w:rsidR="007C12DD" w:rsidRDefault="007C12DD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2DD" w:rsidRDefault="007C12DD" w:rsidP="009644EE">
      <w:pPr>
        <w:spacing w:after="0" w:line="240" w:lineRule="auto"/>
      </w:pPr>
      <w:r>
        <w:separator/>
      </w:r>
    </w:p>
  </w:footnote>
  <w:footnote w:type="continuationSeparator" w:id="0">
    <w:p w:rsidR="007C12DD" w:rsidRDefault="007C12DD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81645"/>
      <w:docPartObj>
        <w:docPartGallery w:val="Page Numbers (Top of Page)"/>
        <w:docPartUnique/>
      </w:docPartObj>
    </w:sdtPr>
    <w:sdtContent>
      <w:p w:rsidR="009644EE" w:rsidRDefault="00D567CE">
        <w:pPr>
          <w:pStyle w:val="a6"/>
          <w:jc w:val="center"/>
        </w:pPr>
        <w:fldSimple w:instr=" PAGE   \* MERGEFORMAT ">
          <w:r w:rsidR="00782DBC">
            <w:rPr>
              <w:noProof/>
            </w:rPr>
            <w:t>6</w:t>
          </w:r>
        </w:fldSimple>
      </w:p>
    </w:sdtContent>
  </w:sdt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4D01"/>
    <w:rsid w:val="00017E01"/>
    <w:rsid w:val="00033DC3"/>
    <w:rsid w:val="00046F82"/>
    <w:rsid w:val="00052F37"/>
    <w:rsid w:val="0006093E"/>
    <w:rsid w:val="000872A0"/>
    <w:rsid w:val="000A18FC"/>
    <w:rsid w:val="000C10BC"/>
    <w:rsid w:val="000F18A3"/>
    <w:rsid w:val="000F65A2"/>
    <w:rsid w:val="00104796"/>
    <w:rsid w:val="00133440"/>
    <w:rsid w:val="00157AE5"/>
    <w:rsid w:val="00160699"/>
    <w:rsid w:val="00162F83"/>
    <w:rsid w:val="0019458A"/>
    <w:rsid w:val="001C0543"/>
    <w:rsid w:val="001E0D0E"/>
    <w:rsid w:val="001E2A76"/>
    <w:rsid w:val="001F298C"/>
    <w:rsid w:val="002078D5"/>
    <w:rsid w:val="00221EE0"/>
    <w:rsid w:val="002338D8"/>
    <w:rsid w:val="00273B0C"/>
    <w:rsid w:val="00275C8A"/>
    <w:rsid w:val="002905D6"/>
    <w:rsid w:val="0029516B"/>
    <w:rsid w:val="00295196"/>
    <w:rsid w:val="002A742B"/>
    <w:rsid w:val="002A7944"/>
    <w:rsid w:val="002C7326"/>
    <w:rsid w:val="002F731A"/>
    <w:rsid w:val="00311E34"/>
    <w:rsid w:val="00313CE7"/>
    <w:rsid w:val="0035361D"/>
    <w:rsid w:val="0038474F"/>
    <w:rsid w:val="003A3CC4"/>
    <w:rsid w:val="003B7AFD"/>
    <w:rsid w:val="003C4FC2"/>
    <w:rsid w:val="0040245D"/>
    <w:rsid w:val="004054CD"/>
    <w:rsid w:val="00417A34"/>
    <w:rsid w:val="004373F2"/>
    <w:rsid w:val="00467FBC"/>
    <w:rsid w:val="00470DA2"/>
    <w:rsid w:val="00484627"/>
    <w:rsid w:val="00486923"/>
    <w:rsid w:val="004A3C30"/>
    <w:rsid w:val="004B6777"/>
    <w:rsid w:val="004C641E"/>
    <w:rsid w:val="005070DE"/>
    <w:rsid w:val="00513503"/>
    <w:rsid w:val="00513DFB"/>
    <w:rsid w:val="005236DD"/>
    <w:rsid w:val="005368D9"/>
    <w:rsid w:val="00542DAA"/>
    <w:rsid w:val="0055236A"/>
    <w:rsid w:val="0057590B"/>
    <w:rsid w:val="00582327"/>
    <w:rsid w:val="005859A9"/>
    <w:rsid w:val="0058696D"/>
    <w:rsid w:val="0059620C"/>
    <w:rsid w:val="0059739A"/>
    <w:rsid w:val="005B7651"/>
    <w:rsid w:val="005C3455"/>
    <w:rsid w:val="005D6D15"/>
    <w:rsid w:val="005E3127"/>
    <w:rsid w:val="005E3E82"/>
    <w:rsid w:val="005F2C30"/>
    <w:rsid w:val="006122A0"/>
    <w:rsid w:val="006137EB"/>
    <w:rsid w:val="006201B9"/>
    <w:rsid w:val="00621D79"/>
    <w:rsid w:val="006264F5"/>
    <w:rsid w:val="00664668"/>
    <w:rsid w:val="006721A2"/>
    <w:rsid w:val="006765E6"/>
    <w:rsid w:val="00684C8E"/>
    <w:rsid w:val="006A763A"/>
    <w:rsid w:val="006A7685"/>
    <w:rsid w:val="006B3EEF"/>
    <w:rsid w:val="006B738E"/>
    <w:rsid w:val="00707147"/>
    <w:rsid w:val="007102CF"/>
    <w:rsid w:val="0072216E"/>
    <w:rsid w:val="0072426D"/>
    <w:rsid w:val="00752B48"/>
    <w:rsid w:val="00756981"/>
    <w:rsid w:val="00757B3F"/>
    <w:rsid w:val="007652DC"/>
    <w:rsid w:val="00782DBC"/>
    <w:rsid w:val="007A269A"/>
    <w:rsid w:val="007B3543"/>
    <w:rsid w:val="007C12DD"/>
    <w:rsid w:val="007E16D9"/>
    <w:rsid w:val="007E2BC2"/>
    <w:rsid w:val="007E5B58"/>
    <w:rsid w:val="00804750"/>
    <w:rsid w:val="00821371"/>
    <w:rsid w:val="00823081"/>
    <w:rsid w:val="00834D09"/>
    <w:rsid w:val="00843E72"/>
    <w:rsid w:val="00847C4C"/>
    <w:rsid w:val="008545ED"/>
    <w:rsid w:val="00857792"/>
    <w:rsid w:val="008779B0"/>
    <w:rsid w:val="008869D2"/>
    <w:rsid w:val="008B71A3"/>
    <w:rsid w:val="008D24E9"/>
    <w:rsid w:val="008E4E33"/>
    <w:rsid w:val="008F5BD7"/>
    <w:rsid w:val="00903265"/>
    <w:rsid w:val="00904AF2"/>
    <w:rsid w:val="009053F9"/>
    <w:rsid w:val="00911D36"/>
    <w:rsid w:val="00915CBD"/>
    <w:rsid w:val="009269C0"/>
    <w:rsid w:val="00934977"/>
    <w:rsid w:val="00943CD7"/>
    <w:rsid w:val="00961DBA"/>
    <w:rsid w:val="009644EE"/>
    <w:rsid w:val="0096785A"/>
    <w:rsid w:val="00975F7C"/>
    <w:rsid w:val="00987A2E"/>
    <w:rsid w:val="009959E2"/>
    <w:rsid w:val="00996F39"/>
    <w:rsid w:val="009A0E97"/>
    <w:rsid w:val="009B5F6E"/>
    <w:rsid w:val="009C5FC0"/>
    <w:rsid w:val="009D1430"/>
    <w:rsid w:val="009F1B2C"/>
    <w:rsid w:val="009F56B2"/>
    <w:rsid w:val="00A13C05"/>
    <w:rsid w:val="00A25B96"/>
    <w:rsid w:val="00A510FA"/>
    <w:rsid w:val="00A54056"/>
    <w:rsid w:val="00A75918"/>
    <w:rsid w:val="00A8367F"/>
    <w:rsid w:val="00A95891"/>
    <w:rsid w:val="00AA58DB"/>
    <w:rsid w:val="00AB1CDF"/>
    <w:rsid w:val="00AC2A7B"/>
    <w:rsid w:val="00AD73D5"/>
    <w:rsid w:val="00AE37C0"/>
    <w:rsid w:val="00AF094C"/>
    <w:rsid w:val="00B02782"/>
    <w:rsid w:val="00B031E4"/>
    <w:rsid w:val="00B15F23"/>
    <w:rsid w:val="00B30E58"/>
    <w:rsid w:val="00B34BDA"/>
    <w:rsid w:val="00B42B6F"/>
    <w:rsid w:val="00B746D4"/>
    <w:rsid w:val="00B83F5E"/>
    <w:rsid w:val="00BB3907"/>
    <w:rsid w:val="00BE49DD"/>
    <w:rsid w:val="00BF4583"/>
    <w:rsid w:val="00C20678"/>
    <w:rsid w:val="00C5484D"/>
    <w:rsid w:val="00C63EE8"/>
    <w:rsid w:val="00C66CB9"/>
    <w:rsid w:val="00C84EB0"/>
    <w:rsid w:val="00C9531C"/>
    <w:rsid w:val="00CB4C86"/>
    <w:rsid w:val="00CB7366"/>
    <w:rsid w:val="00CE3AC3"/>
    <w:rsid w:val="00CF23DE"/>
    <w:rsid w:val="00CF3FA5"/>
    <w:rsid w:val="00CF4A4E"/>
    <w:rsid w:val="00D06E7E"/>
    <w:rsid w:val="00D07EBF"/>
    <w:rsid w:val="00D11305"/>
    <w:rsid w:val="00D17986"/>
    <w:rsid w:val="00D40B92"/>
    <w:rsid w:val="00D44585"/>
    <w:rsid w:val="00D44890"/>
    <w:rsid w:val="00D567CE"/>
    <w:rsid w:val="00D67B9A"/>
    <w:rsid w:val="00D67C47"/>
    <w:rsid w:val="00D8091C"/>
    <w:rsid w:val="00DD6F27"/>
    <w:rsid w:val="00DF3F64"/>
    <w:rsid w:val="00E1326B"/>
    <w:rsid w:val="00E56878"/>
    <w:rsid w:val="00E57DAF"/>
    <w:rsid w:val="00E802CB"/>
    <w:rsid w:val="00E93B00"/>
    <w:rsid w:val="00E95236"/>
    <w:rsid w:val="00EB2C69"/>
    <w:rsid w:val="00EC3003"/>
    <w:rsid w:val="00ED1CE0"/>
    <w:rsid w:val="00ED3280"/>
    <w:rsid w:val="00ED3D86"/>
    <w:rsid w:val="00ED459B"/>
    <w:rsid w:val="00EE486F"/>
    <w:rsid w:val="00EE4B9D"/>
    <w:rsid w:val="00EF1CF1"/>
    <w:rsid w:val="00F13FE1"/>
    <w:rsid w:val="00F162B1"/>
    <w:rsid w:val="00F21D9E"/>
    <w:rsid w:val="00F56BED"/>
    <w:rsid w:val="00F6026A"/>
    <w:rsid w:val="00F917FF"/>
    <w:rsid w:val="00FA2BEF"/>
    <w:rsid w:val="00FA3DDE"/>
    <w:rsid w:val="00FB452A"/>
    <w:rsid w:val="00FC4C1E"/>
    <w:rsid w:val="00FF0FA8"/>
    <w:rsid w:val="00FF14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AB1C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10">
    <w:name w:val="Заголовок 1 Знак"/>
    <w:basedOn w:val="a0"/>
    <w:link w:val="1"/>
    <w:rsid w:val="00AB1C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417A34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417A34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CA17B-3377-40AF-83AB-B272CF72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2537</TotalTime>
  <Pages>6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71</cp:revision>
  <cp:lastPrinted>2023-11-09T04:02:00Z</cp:lastPrinted>
  <dcterms:created xsi:type="dcterms:W3CDTF">2013-08-30T01:22:00Z</dcterms:created>
  <dcterms:modified xsi:type="dcterms:W3CDTF">2024-11-08T12:30:00Z</dcterms:modified>
</cp:coreProperties>
</file>