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B94FC2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2016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804E47">
        <w:rPr>
          <w:rFonts w:ascii="Times New Roman" w:hAnsi="Times New Roman"/>
          <w:b w:val="0"/>
          <w:sz w:val="27"/>
          <w:szCs w:val="27"/>
        </w:rPr>
        <w:t>Пушкина, д. 31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766E91" w:rsidRPr="00EE2E7A">
        <w:rPr>
          <w:rFonts w:ascii="Times New Roman" w:hAnsi="Times New Roman"/>
          <w:b w:val="0"/>
          <w:sz w:val="27"/>
          <w:szCs w:val="27"/>
        </w:rPr>
        <w:t xml:space="preserve">Управляющая компания «НАШ ЖЕЛЕЗНОГОРСКИЙ ДВОР»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(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)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804E47">
        <w:rPr>
          <w:rFonts w:ascii="Times New Roman" w:hAnsi="Times New Roman"/>
          <w:b w:val="0"/>
          <w:sz w:val="27"/>
          <w:szCs w:val="27"/>
        </w:rPr>
        <w:t>Пушкина, д. 31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804E47">
        <w:rPr>
          <w:rFonts w:ascii="Times New Roman" w:hAnsi="Times New Roman"/>
          <w:b w:val="0"/>
          <w:sz w:val="27"/>
          <w:szCs w:val="27"/>
        </w:rPr>
        <w:t>Пушкина, д. 31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r w:rsidR="00804E47" w:rsidRPr="00804E47">
        <w:rPr>
          <w:rFonts w:ascii="Times New Roman" w:hAnsi="Times New Roman"/>
          <w:sz w:val="27"/>
          <w:szCs w:val="27"/>
        </w:rPr>
        <w:t>Пушкина, д. 31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</w:t>
      </w:r>
      <w:r w:rsidR="0019413A" w:rsidRPr="00EE2E7A">
        <w:rPr>
          <w:rFonts w:ascii="Times New Roman" w:hAnsi="Times New Roman"/>
          <w:sz w:val="27"/>
          <w:szCs w:val="27"/>
        </w:rPr>
        <w:lastRenderedPageBreak/>
        <w:t xml:space="preserve">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7E75BC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ООО УК «НАШ ЖЕЛЕЗНОГОРСКИЙ ДВОР» </w:t>
      </w:r>
      <w:r w:rsidR="007E75BC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7E75BC">
        <w:rPr>
          <w:rFonts w:ascii="Times New Roman" w:hAnsi="Times New Roman"/>
          <w:sz w:val="27"/>
          <w:szCs w:val="27"/>
        </w:rPr>
        <w:t>ими</w:t>
      </w:r>
      <w:r w:rsidR="007E75BC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7E75BC">
        <w:rPr>
          <w:rFonts w:ascii="Times New Roman" w:hAnsi="Times New Roman"/>
          <w:sz w:val="27"/>
          <w:szCs w:val="27"/>
        </w:rPr>
        <w:t>ями, в том числе</w:t>
      </w:r>
      <w:r w:rsidR="007E75BC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7E75BC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7E75BC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7E75BC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</w:t>
      </w:r>
      <w:proofErr w:type="gramEnd"/>
      <w:r w:rsidR="007E75BC" w:rsidRPr="00EE2E7A">
        <w:rPr>
          <w:rFonts w:ascii="Times New Roman" w:hAnsi="Times New Roman"/>
          <w:sz w:val="27"/>
          <w:szCs w:val="27"/>
        </w:rPr>
        <w:t xml:space="preserve">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r w:rsidR="00804E47">
        <w:rPr>
          <w:rFonts w:ascii="Times New Roman" w:hAnsi="Times New Roman"/>
          <w:b w:val="0"/>
          <w:sz w:val="27"/>
          <w:szCs w:val="27"/>
        </w:rPr>
        <w:t>Пушкина, д. 31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E303E2" w:rsidRPr="00EE2E7A">
        <w:rPr>
          <w:rFonts w:ascii="Times New Roman" w:hAnsi="Times New Roman"/>
          <w:b w:val="0"/>
          <w:sz w:val="27"/>
          <w:szCs w:val="27"/>
        </w:rPr>
        <w:t>ООО УК «НАШ ЖЕЛЕЗНОГОРСКИЙ ДВОР»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7E75BC" w:rsidRPr="00EE2E7A">
        <w:rPr>
          <w:rFonts w:ascii="Times New Roman" w:hAnsi="Times New Roman" w:cs="Times New Roman"/>
          <w:sz w:val="27"/>
          <w:szCs w:val="27"/>
        </w:rPr>
        <w:t xml:space="preserve">Настоящее постановление </w:t>
      </w:r>
      <w:proofErr w:type="gramStart"/>
      <w:r w:rsidR="007E75BC" w:rsidRPr="00EE2E7A">
        <w:rPr>
          <w:rFonts w:ascii="Times New Roman" w:hAnsi="Times New Roman" w:cs="Times New Roman"/>
          <w:sz w:val="27"/>
          <w:szCs w:val="27"/>
        </w:rPr>
        <w:t>вступает в силу после его официального опубликования</w:t>
      </w:r>
      <w:r w:rsidR="007E75BC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7E75BC" w:rsidRPr="00674103">
        <w:rPr>
          <w:rFonts w:ascii="Times New Roman" w:hAnsi="Times New Roman" w:cs="Times New Roman"/>
          <w:sz w:val="27"/>
          <w:szCs w:val="27"/>
        </w:rPr>
        <w:t>и распространяется</w:t>
      </w:r>
      <w:proofErr w:type="gramEnd"/>
      <w:r w:rsidR="007E75BC" w:rsidRPr="00674103">
        <w:rPr>
          <w:rFonts w:ascii="Times New Roman" w:hAnsi="Times New Roman" w:cs="Times New Roman"/>
          <w:sz w:val="27"/>
          <w:szCs w:val="27"/>
        </w:rPr>
        <w:t xml:space="preserve"> </w:t>
      </w:r>
      <w:r w:rsidR="007E75BC">
        <w:rPr>
          <w:rFonts w:ascii="Times New Roman" w:hAnsi="Times New Roman" w:cs="Times New Roman"/>
          <w:sz w:val="27"/>
          <w:szCs w:val="27"/>
        </w:rPr>
        <w:t>на правоотношения, возникшие с 07</w:t>
      </w:r>
      <w:r w:rsidR="007E75BC" w:rsidRPr="00674103">
        <w:rPr>
          <w:rFonts w:ascii="Times New Roman" w:hAnsi="Times New Roman" w:cs="Times New Roman"/>
          <w:sz w:val="27"/>
          <w:szCs w:val="27"/>
        </w:rPr>
        <w:t> </w:t>
      </w:r>
      <w:r w:rsidR="007E75BC">
        <w:rPr>
          <w:rFonts w:ascii="Times New Roman" w:hAnsi="Times New Roman" w:cs="Times New Roman"/>
          <w:sz w:val="27"/>
          <w:szCs w:val="27"/>
        </w:rPr>
        <w:t>октября</w:t>
      </w:r>
      <w:r w:rsidR="007E75BC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B94FC2">
        <w:rPr>
          <w:rFonts w:ascii="Times New Roman" w:eastAsia="Times New Roman" w:hAnsi="Times New Roman"/>
          <w:sz w:val="28"/>
          <w:szCs w:val="28"/>
        </w:rPr>
        <w:t>30.09.2022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94FC2">
        <w:rPr>
          <w:rFonts w:ascii="Times New Roman" w:eastAsia="Times New Roman" w:hAnsi="Times New Roman"/>
          <w:sz w:val="28"/>
          <w:szCs w:val="28"/>
        </w:rPr>
        <w:t>2016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804E47" w:rsidRPr="00804E47">
        <w:rPr>
          <w:rFonts w:ascii="Times New Roman" w:hAnsi="Times New Roman"/>
          <w:sz w:val="28"/>
          <w:szCs w:val="28"/>
        </w:rPr>
        <w:t>Пушкина, д. 31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840"/>
        <w:gridCol w:w="2294"/>
        <w:gridCol w:w="2410"/>
        <w:gridCol w:w="1418"/>
        <w:gridCol w:w="1302"/>
        <w:gridCol w:w="1958"/>
      </w:tblGrid>
      <w:tr w:rsidR="00804E47" w:rsidRPr="00804E47" w:rsidTr="00804E47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804E47" w:rsidRPr="00804E47" w:rsidTr="00804E47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804E47" w:rsidRPr="00804E47" w:rsidTr="00804E47">
        <w:trPr>
          <w:trHeight w:val="49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7A6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804E47" w:rsidRPr="00804E47" w:rsidTr="00804E47">
        <w:trPr>
          <w:trHeight w:val="49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804E47" w:rsidRPr="00804E47" w:rsidTr="00804E47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804E47" w:rsidRPr="00804E47" w:rsidTr="00804E47">
        <w:trPr>
          <w:trHeight w:val="16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0,48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804E47" w:rsidRPr="00804E47" w:rsidTr="00804E47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804E47" w:rsidRPr="00804E47" w:rsidTr="00804E47">
        <w:trPr>
          <w:trHeight w:val="660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04E47" w:rsidRPr="00804E47" w:rsidTr="00804E47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</w:t>
            </w: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элементов оконных и дверных заполнений в помещениях, относящихся к общему имуществу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804E47" w:rsidRPr="00804E47" w:rsidTr="00804E47">
        <w:trPr>
          <w:trHeight w:val="67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04E47" w:rsidRPr="00804E47" w:rsidTr="00804E47">
        <w:trPr>
          <w:trHeight w:val="58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804E47" w:rsidRPr="00804E47" w:rsidTr="00804E47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804E47" w:rsidRPr="00804E47" w:rsidTr="00804E4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600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804E47" w:rsidRPr="00804E47" w:rsidTr="00804E47">
        <w:trPr>
          <w:trHeight w:val="34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804E47" w:rsidRPr="00804E47" w:rsidTr="00804E4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10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Испытания на прочность и плотность узлов ввода и систем </w:t>
            </w: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 раз в год, отключение и подключение систем - 2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804E47" w:rsidRPr="00804E47" w:rsidTr="00804E4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2,2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Смена муфтовой арматуры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4.2.7.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58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804E47" w:rsidRPr="00804E47" w:rsidTr="00804E47">
        <w:trPr>
          <w:trHeight w:val="18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804E47" w:rsidRPr="00804E47" w:rsidTr="00804E47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9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804E47" w:rsidRPr="00804E47" w:rsidTr="00804E4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51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804E47" w:rsidRPr="00804E47" w:rsidTr="00804E4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510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804E47" w:rsidRPr="00804E47" w:rsidTr="00804E47">
        <w:trPr>
          <w:trHeight w:val="55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804E47" w:rsidRPr="00804E47" w:rsidTr="00804E47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04E47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04E47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04E47" w:rsidRPr="00804E47" w:rsidTr="00804E47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804E4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804E47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04E47" w:rsidRPr="00804E47" w:rsidTr="00804E47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804E47" w:rsidRPr="00804E47" w:rsidTr="00804E47">
        <w:trPr>
          <w:trHeight w:val="64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804E47" w:rsidRPr="00804E47" w:rsidTr="00804E47">
        <w:trPr>
          <w:trHeight w:val="18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3,04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804E47" w:rsidRPr="00804E47" w:rsidTr="00804E47">
        <w:trPr>
          <w:trHeight w:val="51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804E47" w:rsidRPr="00804E47" w:rsidTr="00804E4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0,73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538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804E47" w:rsidRPr="00804E47" w:rsidTr="00804E47">
        <w:trPr>
          <w:trHeight w:val="55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804E47" w:rsidRPr="00804E47" w:rsidTr="00804E47">
        <w:trPr>
          <w:trHeight w:val="9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E47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3,04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804E47" w:rsidRPr="00804E47" w:rsidTr="00804E47">
        <w:trPr>
          <w:trHeight w:val="20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E47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3,75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804E47" w:rsidRPr="00804E47" w:rsidTr="00804E47">
        <w:trPr>
          <w:trHeight w:val="67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804E47" w:rsidRPr="00804E47" w:rsidTr="00804E47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804E47" w:rsidRPr="00804E47" w:rsidTr="00804E47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804E47" w:rsidRPr="00804E47" w:rsidTr="00804E47">
        <w:trPr>
          <w:trHeight w:val="450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804E47" w:rsidRPr="00804E47" w:rsidTr="00804E47">
        <w:trPr>
          <w:trHeight w:val="18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04E47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804E47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804E47" w:rsidRPr="00804E47" w:rsidTr="00804E47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804E47" w:rsidRPr="00804E47" w:rsidTr="00804E47">
        <w:trPr>
          <w:trHeight w:val="465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804E47" w:rsidRPr="00804E47" w:rsidTr="00804E47">
        <w:trPr>
          <w:trHeight w:val="24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538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804E47" w:rsidRPr="00804E47" w:rsidTr="00804E47">
        <w:trPr>
          <w:trHeight w:val="450"/>
        </w:trPr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804E47" w:rsidRPr="00804E47" w:rsidTr="00804E47">
        <w:trPr>
          <w:trHeight w:val="24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538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E47" w:rsidRPr="00804E47" w:rsidRDefault="00804E47" w:rsidP="00804E47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04E47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E2" w:rsidRDefault="00E303E2">
      <w:r>
        <w:separator/>
      </w:r>
    </w:p>
  </w:endnote>
  <w:endnote w:type="continuationSeparator" w:id="0">
    <w:p w:rsidR="00E303E2" w:rsidRDefault="00E30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E2" w:rsidRDefault="00E303E2">
      <w:r>
        <w:separator/>
      </w:r>
    </w:p>
  </w:footnote>
  <w:footnote w:type="continuationSeparator" w:id="0">
    <w:p w:rsidR="00E303E2" w:rsidRDefault="00E30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303E2" w:rsidRDefault="00CD7B68" w:rsidP="00690443">
        <w:pPr>
          <w:pStyle w:val="a7"/>
          <w:jc w:val="center"/>
        </w:pPr>
        <w:fldSimple w:instr=" PAGE   \* MERGEFORMAT ">
          <w:r w:rsidR="00B94FC2">
            <w:rPr>
              <w:noProof/>
            </w:rPr>
            <w:t>2</w:t>
          </w:r>
        </w:fldSimple>
      </w:p>
    </w:sdtContent>
  </w:sdt>
  <w:p w:rsidR="00E303E2" w:rsidRDefault="00E303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04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5BC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2F9F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4FC2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D7B68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D1247-6D08-4461-89F0-30BD0956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1858</Words>
  <Characters>13118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47</cp:revision>
  <cp:lastPrinted>2022-09-30T02:01:00Z</cp:lastPrinted>
  <dcterms:created xsi:type="dcterms:W3CDTF">2019-05-15T05:17:00Z</dcterms:created>
  <dcterms:modified xsi:type="dcterms:W3CDTF">2022-09-30T07:46:00Z</dcterms:modified>
</cp:coreProperties>
</file>