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4C6061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4008F">
        <w:rPr>
          <w:rFonts w:ascii="Times New Roman" w:hAnsi="Times New Roman"/>
          <w:b w:val="0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D4008F">
        <w:rPr>
          <w:rFonts w:ascii="Times New Roman" w:hAnsi="Times New Roman"/>
          <w:b w:val="0"/>
          <w:sz w:val="28"/>
          <w:szCs w:val="28"/>
        </w:rPr>
        <w:t>проезд, д. 4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4008F">
        <w:rPr>
          <w:rFonts w:ascii="Times New Roman" w:hAnsi="Times New Roman"/>
          <w:b w:val="0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D4008F">
        <w:rPr>
          <w:rFonts w:ascii="Times New Roman" w:hAnsi="Times New Roman"/>
          <w:b w:val="0"/>
          <w:sz w:val="28"/>
          <w:szCs w:val="28"/>
        </w:rPr>
        <w:t>проезд, д. 4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6042E7" w:rsidRPr="00E303E2" w:rsidRDefault="006042E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4008F">
        <w:rPr>
          <w:rFonts w:ascii="Times New Roman" w:hAnsi="Times New Roman"/>
          <w:b w:val="0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D4008F">
        <w:rPr>
          <w:rFonts w:ascii="Times New Roman" w:hAnsi="Times New Roman"/>
          <w:b w:val="0"/>
          <w:sz w:val="28"/>
          <w:szCs w:val="28"/>
        </w:rPr>
        <w:t>проезд, д. 4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 </w:t>
      </w:r>
      <w:r w:rsidR="00D4008F">
        <w:rPr>
          <w:rFonts w:ascii="Times New Roman" w:hAnsi="Times New Roman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sz w:val="28"/>
          <w:szCs w:val="28"/>
        </w:rPr>
        <w:t xml:space="preserve"> </w:t>
      </w:r>
      <w:r w:rsidR="00D4008F">
        <w:rPr>
          <w:rFonts w:ascii="Times New Roman" w:hAnsi="Times New Roman"/>
          <w:sz w:val="28"/>
          <w:szCs w:val="28"/>
        </w:rPr>
        <w:t>проезд, д. 4</w:t>
      </w:r>
      <w:r w:rsidR="00D7441A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4008F">
        <w:rPr>
          <w:rFonts w:ascii="Times New Roman" w:hAnsi="Times New Roman"/>
          <w:b w:val="0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D4008F">
        <w:rPr>
          <w:rFonts w:ascii="Times New Roman" w:hAnsi="Times New Roman"/>
          <w:b w:val="0"/>
          <w:sz w:val="28"/>
          <w:szCs w:val="28"/>
        </w:rPr>
        <w:t>проезд, д. 4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6042E7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D4008F">
        <w:rPr>
          <w:rFonts w:ascii="Times New Roman" w:hAnsi="Times New Roman"/>
          <w:b w:val="0"/>
          <w:sz w:val="28"/>
          <w:szCs w:val="28"/>
        </w:rPr>
        <w:t>3</w:t>
      </w:r>
      <w:r w:rsidR="006042E7">
        <w:rPr>
          <w:rFonts w:ascii="Times New Roman" w:hAnsi="Times New Roman"/>
          <w:b w:val="0"/>
          <w:sz w:val="28"/>
          <w:szCs w:val="28"/>
        </w:rPr>
        <w:t>.09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D4008F">
        <w:rPr>
          <w:rFonts w:ascii="Times New Roman" w:hAnsi="Times New Roman"/>
          <w:b w:val="0"/>
          <w:sz w:val="28"/>
          <w:szCs w:val="28"/>
        </w:rPr>
        <w:t>738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4008F">
        <w:rPr>
          <w:rFonts w:ascii="Times New Roman" w:hAnsi="Times New Roman"/>
          <w:b w:val="0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D4008F">
        <w:rPr>
          <w:rFonts w:ascii="Times New Roman" w:hAnsi="Times New Roman"/>
          <w:b w:val="0"/>
          <w:sz w:val="28"/>
          <w:szCs w:val="28"/>
        </w:rPr>
        <w:t>проезд, д. 4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42E7" w:rsidRPr="00E303E2" w:rsidRDefault="006042E7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C6061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C6061">
        <w:rPr>
          <w:rFonts w:ascii="Times New Roman" w:eastAsia="Times New Roman" w:hAnsi="Times New Roman"/>
          <w:sz w:val="28"/>
          <w:szCs w:val="28"/>
        </w:rPr>
        <w:t>1664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D4008F">
        <w:rPr>
          <w:rFonts w:ascii="Times New Roman" w:hAnsi="Times New Roman"/>
          <w:sz w:val="28"/>
          <w:szCs w:val="28"/>
        </w:rPr>
        <w:t>Поселковый</w:t>
      </w:r>
      <w:r w:rsidR="00D4008F" w:rsidRPr="00C86D41">
        <w:rPr>
          <w:rFonts w:ascii="Times New Roman" w:hAnsi="Times New Roman"/>
          <w:sz w:val="28"/>
          <w:szCs w:val="28"/>
        </w:rPr>
        <w:t xml:space="preserve"> </w:t>
      </w:r>
      <w:r w:rsidR="00D4008F">
        <w:rPr>
          <w:rFonts w:ascii="Times New Roman" w:hAnsi="Times New Roman"/>
          <w:sz w:val="28"/>
          <w:szCs w:val="28"/>
        </w:rPr>
        <w:t>проезд, д. 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140" w:type="dxa"/>
        <w:tblInd w:w="93" w:type="dxa"/>
        <w:tblLayout w:type="fixed"/>
        <w:tblLook w:val="04A0"/>
      </w:tblPr>
      <w:tblGrid>
        <w:gridCol w:w="863"/>
        <w:gridCol w:w="2457"/>
        <w:gridCol w:w="2244"/>
        <w:gridCol w:w="1397"/>
        <w:gridCol w:w="913"/>
        <w:gridCol w:w="2266"/>
      </w:tblGrid>
      <w:tr w:rsidR="00D4008F" w:rsidRPr="00D4008F" w:rsidTr="00D4008F">
        <w:trPr>
          <w:trHeight w:val="31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D4008F" w:rsidRPr="00D4008F" w:rsidTr="00D4008F">
        <w:trPr>
          <w:trHeight w:val="46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4008F" w:rsidRPr="00D4008F" w:rsidTr="00D4008F">
        <w:trPr>
          <w:trHeight w:val="90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75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27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D4008F" w:rsidRPr="00D4008F" w:rsidTr="00D4008F">
        <w:trPr>
          <w:trHeight w:val="12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D4008F" w:rsidRPr="00D4008F" w:rsidTr="00D4008F">
        <w:trPr>
          <w:trHeight w:val="12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D4008F" w:rsidRPr="00D4008F" w:rsidTr="00D4008F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Сбивание наледи с крыши, ледяных образований (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сосулей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78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27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остекления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Устранеие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неисправностей  переплётов слуховых окон, (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присторжка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, установка угольников, со снятием)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765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84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8F69D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(холодного),  водоотведения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7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5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 и работоспособности  запорной и регулирующей </w:t>
            </w: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арматуры ХВС (шаровых кранов, балансировочных клапанов и др.)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9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945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0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D4008F" w:rsidRPr="00D4008F" w:rsidTr="00D4008F">
        <w:trPr>
          <w:trHeight w:val="9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100 м труб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9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Удаление воздуха из системы отопления через воздухосборники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Наличие циркуляции теплоносителя в системе</w:t>
            </w:r>
          </w:p>
        </w:tc>
      </w:tr>
      <w:tr w:rsidR="00D4008F" w:rsidRPr="00D4008F" w:rsidTr="00D4008F">
        <w:trPr>
          <w:trHeight w:val="495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8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D4008F" w:rsidRPr="00D4008F" w:rsidTr="00D4008F">
        <w:trPr>
          <w:trHeight w:val="9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0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D4008F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D4008F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ППР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борудования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в подвалах и чердаках (закрытый короб)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ЩУРС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48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D4008F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D4008F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D4008F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D4008F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D4008F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D4008F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4008F">
              <w:rPr>
                <w:rFonts w:ascii="Times New Roman" w:eastAsia="Times New Roman" w:hAnsi="Times New Roman"/>
                <w:sz w:val="17"/>
                <w:szCs w:val="17"/>
              </w:rPr>
              <w:t>5.3.1.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4008F">
              <w:rPr>
                <w:rFonts w:ascii="Times New Roman" w:eastAsia="Times New Roman" w:hAnsi="Times New Roman"/>
                <w:sz w:val="17"/>
                <w:szCs w:val="17"/>
              </w:rPr>
              <w:t>5.3.2.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4008F">
              <w:rPr>
                <w:rFonts w:ascii="Times New Roman" w:eastAsia="Times New Roman" w:hAnsi="Times New Roman"/>
                <w:sz w:val="17"/>
                <w:szCs w:val="17"/>
              </w:rPr>
              <w:t>5.3.3.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изделий (розеток, выключателей)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2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4008F">
              <w:rPr>
                <w:rFonts w:ascii="Times New Roman" w:eastAsia="Times New Roman" w:hAnsi="Times New Roman"/>
                <w:sz w:val="17"/>
                <w:szCs w:val="17"/>
              </w:rPr>
              <w:t>5.3.4.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обеспечение работоспособности устройств защитного отключения с заменой автоматического выключателя ВА-4729, 25</w:t>
            </w:r>
            <w:proofErr w:type="gram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9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3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0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D4008F" w:rsidRPr="00D4008F" w:rsidTr="00D4008F">
        <w:trPr>
          <w:trHeight w:val="280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D4008F" w:rsidRPr="00D4008F" w:rsidTr="00D4008F">
        <w:trPr>
          <w:trHeight w:val="12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Уборка подвалов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Дератизация здания </w:t>
            </w:r>
            <w:proofErr w:type="gramStart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мусоропровод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825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5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1,49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D4008F" w:rsidRPr="00D4008F" w:rsidTr="00D4008F">
        <w:trPr>
          <w:trHeight w:val="433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D4008F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D4008F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Уборка отмостки в </w:t>
            </w: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зимнее время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530,7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7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D4008F" w:rsidRPr="00D4008F" w:rsidTr="00D4008F">
        <w:trPr>
          <w:trHeight w:val="30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2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2,05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D4008F" w:rsidRPr="00D4008F" w:rsidTr="00D4008F">
        <w:trPr>
          <w:trHeight w:val="15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7,62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4008F" w:rsidRPr="00D4008F" w:rsidTr="00D4008F">
        <w:trPr>
          <w:trHeight w:val="105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5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D4008F" w:rsidRPr="00D4008F" w:rsidTr="00D4008F">
        <w:trPr>
          <w:trHeight w:val="32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Восстановление  плотности притворов  дверных заполнений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63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Установка снятых пружин на входных и тамбурных дверях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5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D4008F" w:rsidRPr="00D4008F" w:rsidTr="00D4008F">
        <w:trPr>
          <w:trHeight w:val="30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17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4008F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D4008F" w:rsidRPr="00D4008F" w:rsidTr="00D4008F">
        <w:trPr>
          <w:trHeight w:val="10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D4008F" w:rsidRPr="00D4008F" w:rsidTr="00D4008F">
        <w:trPr>
          <w:trHeight w:val="30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26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008F">
              <w:rPr>
                <w:rFonts w:ascii="Times New Roman" w:eastAsia="Times New Roman" w:hAnsi="Times New Roman"/>
                <w:sz w:val="18"/>
                <w:szCs w:val="18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530,7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4008F" w:rsidRPr="00D4008F" w:rsidTr="00D4008F">
        <w:trPr>
          <w:trHeight w:val="30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4008F" w:rsidRPr="00D4008F" w:rsidTr="00D4008F">
        <w:trPr>
          <w:trHeight w:val="20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08F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4008F">
              <w:rPr>
                <w:rFonts w:ascii="Times New Roman" w:eastAsia="Times New Roman" w:hAnsi="Times New Roman"/>
                <w:sz w:val="22"/>
                <w:szCs w:val="22"/>
              </w:rPr>
              <w:t>530,7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8F" w:rsidRPr="00D4008F" w:rsidRDefault="00D4008F" w:rsidP="00D4008F">
            <w:pPr>
              <w:rPr>
                <w:rFonts w:ascii="Times New Roman" w:eastAsia="Times New Roman" w:hAnsi="Times New Roman"/>
                <w:sz w:val="20"/>
              </w:rPr>
            </w:pPr>
            <w:r w:rsidRPr="00D4008F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69760F" w:rsidP="00690443">
        <w:pPr>
          <w:pStyle w:val="a7"/>
          <w:jc w:val="center"/>
        </w:pPr>
        <w:fldSimple w:instr=" PAGE   \* MERGEFORMAT ">
          <w:r w:rsidR="004C6061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37A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061"/>
    <w:rsid w:val="004C6A67"/>
    <w:rsid w:val="004D0CE3"/>
    <w:rsid w:val="004D1039"/>
    <w:rsid w:val="004D1B6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9760F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69DD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308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008F"/>
    <w:rsid w:val="00D4287F"/>
    <w:rsid w:val="00D434AA"/>
    <w:rsid w:val="00D44D97"/>
    <w:rsid w:val="00D468F8"/>
    <w:rsid w:val="00D531C7"/>
    <w:rsid w:val="00D63FA6"/>
    <w:rsid w:val="00D66BBE"/>
    <w:rsid w:val="00D700F2"/>
    <w:rsid w:val="00D70E73"/>
    <w:rsid w:val="00D7441A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574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0DD2B-BFDA-4E21-9034-6C154E60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2156</Words>
  <Characters>15131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2022-08-09T10:51:00Z</cp:lastPrinted>
  <dcterms:created xsi:type="dcterms:W3CDTF">2019-05-15T05:17:00Z</dcterms:created>
  <dcterms:modified xsi:type="dcterms:W3CDTF">2022-08-17T07:34:00Z</dcterms:modified>
</cp:coreProperties>
</file>