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357C33">
        <w:rPr>
          <w:rFonts w:ascii="Times New Roman" w:hAnsi="Times New Roman"/>
          <w:sz w:val="28"/>
          <w:szCs w:val="28"/>
        </w:rPr>
        <w:t>15</w:t>
      </w:r>
      <w:r w:rsidR="001410CB">
        <w:rPr>
          <w:rFonts w:ascii="Times New Roman" w:hAnsi="Times New Roman"/>
          <w:sz w:val="28"/>
          <w:szCs w:val="28"/>
        </w:rPr>
        <w:t xml:space="preserve"> </w:t>
      </w:r>
      <w:r w:rsidR="00357C33">
        <w:rPr>
          <w:rFonts w:ascii="Times New Roman" w:hAnsi="Times New Roman"/>
          <w:sz w:val="28"/>
          <w:szCs w:val="28"/>
        </w:rPr>
        <w:t xml:space="preserve">ноября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5A3410">
        <w:rPr>
          <w:rFonts w:ascii="Times New Roman" w:hAnsi="Times New Roman"/>
          <w:sz w:val="28"/>
          <w:szCs w:val="28"/>
        </w:rPr>
        <w:t>1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357C33">
        <w:rPr>
          <w:rFonts w:ascii="Times New Roman" w:hAnsi="Times New Roman"/>
          <w:sz w:val="28"/>
          <w:szCs w:val="28"/>
        </w:rPr>
        <w:t>2144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1D" w:rsidRPr="00662F20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</w:t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BC7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3079B0" w:rsidRPr="009C78DC" w:rsidRDefault="003079B0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4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FA09C7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0E0BAF">
              <w:rPr>
                <w:rFonts w:ascii="Times New Roman" w:hAnsi="Times New Roman"/>
                <w:sz w:val="24"/>
                <w:szCs w:val="24"/>
              </w:rPr>
              <w:t>94</w:t>
            </w:r>
            <w:r w:rsidR="003079B0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033</w:t>
            </w:r>
            <w:r w:rsidR="00307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0BAF">
              <w:rPr>
                <w:rFonts w:ascii="Times New Roman" w:hAnsi="Times New Roman"/>
                <w:sz w:val="24"/>
                <w:szCs w:val="24"/>
              </w:rPr>
              <w:t>180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0E0BAF">
              <w:rPr>
                <w:rFonts w:ascii="Times New Roman" w:hAnsi="Times New Roman"/>
                <w:sz w:val="24"/>
                <w:szCs w:val="24"/>
              </w:rPr>
              <w:t>132 000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20 000</w:t>
            </w:r>
            <w:r w:rsidR="007F3533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0BAF">
              <w:rPr>
                <w:rFonts w:ascii="Times New Roman" w:hAnsi="Times New Roman"/>
                <w:sz w:val="24"/>
                <w:szCs w:val="24"/>
              </w:rPr>
              <w:t>56 000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0BAF">
              <w:rPr>
                <w:rFonts w:ascii="Times New Roman" w:hAnsi="Times New Roman"/>
                <w:sz w:val="24"/>
                <w:szCs w:val="24"/>
              </w:rPr>
              <w:t>56 000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93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901 180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32</w:t>
            </w:r>
            <w:r w:rsidR="000E0BA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906 770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497 205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D6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497 </w:t>
            </w:r>
            <w:r w:rsidR="000E0BAF" w:rsidRPr="00D665D4">
              <w:rPr>
                <w:rFonts w:ascii="Times New Roman" w:hAnsi="Times New Roman"/>
                <w:sz w:val="24"/>
                <w:szCs w:val="24"/>
              </w:rPr>
              <w:t>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7578F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081773">
        <w:rPr>
          <w:rFonts w:eastAsia="Calibri"/>
          <w:bCs/>
          <w:sz w:val="28"/>
          <w:szCs w:val="28"/>
        </w:rPr>
        <w:t>17</w:t>
      </w:r>
      <w:r w:rsidR="003B7C0A" w:rsidRPr="0027552C">
        <w:rPr>
          <w:rFonts w:eastAsia="Calibri"/>
          <w:bCs/>
          <w:sz w:val="28"/>
          <w:szCs w:val="28"/>
        </w:rPr>
        <w:t>.12.20</w:t>
      </w:r>
      <w:r w:rsidR="00081773">
        <w:rPr>
          <w:rFonts w:eastAsia="Calibri"/>
          <w:bCs/>
          <w:sz w:val="28"/>
          <w:szCs w:val="28"/>
        </w:rPr>
        <w:t>20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081773">
        <w:rPr>
          <w:rFonts w:eastAsia="Calibri"/>
          <w:bCs/>
          <w:sz w:val="28"/>
          <w:szCs w:val="28"/>
        </w:rPr>
        <w:t>4</w:t>
      </w:r>
      <w:r w:rsidR="003B7C0A" w:rsidRPr="009E4568">
        <w:rPr>
          <w:rFonts w:eastAsia="Calibri"/>
          <w:bCs/>
          <w:sz w:val="28"/>
          <w:szCs w:val="28"/>
        </w:rPr>
        <w:t>-</w:t>
      </w:r>
      <w:r w:rsidR="00081773">
        <w:rPr>
          <w:rFonts w:eastAsia="Calibri"/>
          <w:bCs/>
          <w:sz w:val="28"/>
          <w:szCs w:val="28"/>
        </w:rPr>
        <w:t>40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</w:t>
      </w:r>
      <w:r w:rsidR="00081773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081773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>-202</w:t>
      </w:r>
      <w:r w:rsidR="00081773">
        <w:rPr>
          <w:sz w:val="28"/>
          <w:szCs w:val="28"/>
        </w:rPr>
        <w:t>3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</w:t>
      </w:r>
      <w:r w:rsidR="00802944" w:rsidRPr="00802944">
        <w:rPr>
          <w:sz w:val="28"/>
          <w:szCs w:val="28"/>
        </w:rPr>
        <w:t>1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r w:rsidR="00B4292B" w:rsidRPr="007D3295">
        <w:rPr>
          <w:rFonts w:ascii="Times New Roman" w:hAnsi="Times New Roman" w:cs="Times New Roman"/>
          <w:sz w:val="28"/>
          <w:szCs w:val="28"/>
        </w:rPr>
        <w:lastRenderedPageBreak/>
        <w:t>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D56124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1A6E" w:rsidRPr="00E47746" w:rsidRDefault="00881A6E" w:rsidP="00AA77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(средства местного бюджета, в том </w:t>
      </w:r>
      <w:r w:rsidRPr="007E23AF">
        <w:rPr>
          <w:rFonts w:ascii="Times New Roman" w:hAnsi="Times New Roman" w:cs="Times New Roman"/>
          <w:sz w:val="28"/>
          <w:szCs w:val="28"/>
        </w:rPr>
        <w:lastRenderedPageBreak/>
        <w:t>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DC392E" w:rsidRPr="00DC392E" w:rsidRDefault="00DC392E" w:rsidP="00DC392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общественной безопасности</w:t>
            </w:r>
          </w:p>
          <w:p w:rsidR="003E7F7B" w:rsidRPr="007E23AF" w:rsidRDefault="00DC392E" w:rsidP="00DC39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7578FE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324" w:rsidRPr="00E91D45" w:rsidRDefault="00E4032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E40324" w:rsidRPr="00E91D45" w:rsidRDefault="00E4032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324" w:rsidRPr="00E91D45" w:rsidRDefault="00E4032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E40324" w:rsidRPr="00E91D45" w:rsidRDefault="00E4032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FA09C7">
        <w:pPr>
          <w:pStyle w:val="af0"/>
          <w:jc w:val="center"/>
        </w:pPr>
        <w:fldSimple w:instr=" PAGE   \* MERGEFORMAT ">
          <w:r w:rsidR="00357C33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C70CA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10116"/>
    <w:rsid w:val="00220085"/>
    <w:rsid w:val="00232A29"/>
    <w:rsid w:val="00243708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E29F5"/>
    <w:rsid w:val="002F0E2C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7F"/>
    <w:rsid w:val="003B7C0A"/>
    <w:rsid w:val="003C2326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15BA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3D10"/>
    <w:rsid w:val="00527175"/>
    <w:rsid w:val="00527D63"/>
    <w:rsid w:val="00530D90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396F"/>
    <w:rsid w:val="005B41EE"/>
    <w:rsid w:val="005B5AAF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3D0B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3295"/>
    <w:rsid w:val="007D793E"/>
    <w:rsid w:val="007E1F29"/>
    <w:rsid w:val="007E23AF"/>
    <w:rsid w:val="007E5397"/>
    <w:rsid w:val="007E6482"/>
    <w:rsid w:val="007F2FB4"/>
    <w:rsid w:val="007F3533"/>
    <w:rsid w:val="007F4A09"/>
    <w:rsid w:val="007F6A34"/>
    <w:rsid w:val="007F7315"/>
    <w:rsid w:val="008013FE"/>
    <w:rsid w:val="00802944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E4877"/>
    <w:rsid w:val="008F2E56"/>
    <w:rsid w:val="008F4662"/>
    <w:rsid w:val="009021B7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0E51"/>
    <w:rsid w:val="00982113"/>
    <w:rsid w:val="009930A9"/>
    <w:rsid w:val="00995FA6"/>
    <w:rsid w:val="009A0BC6"/>
    <w:rsid w:val="009A2084"/>
    <w:rsid w:val="009A4405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223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2259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79A5"/>
    <w:rsid w:val="00E30285"/>
    <w:rsid w:val="00E3602C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3C59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4C06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09C7"/>
    <w:rsid w:val="00FA607B"/>
    <w:rsid w:val="00FA7D96"/>
    <w:rsid w:val="00FB05D8"/>
    <w:rsid w:val="00FB67A8"/>
    <w:rsid w:val="00FB6DAB"/>
    <w:rsid w:val="00FB7AC1"/>
    <w:rsid w:val="00FC1996"/>
    <w:rsid w:val="00FC2DA7"/>
    <w:rsid w:val="00FC529D"/>
    <w:rsid w:val="00FC60E4"/>
    <w:rsid w:val="00FC62DA"/>
    <w:rsid w:val="00FD03E3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E8901-4A3C-4D8D-A03C-CC1D674E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3110</Words>
  <Characters>17732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13</cp:revision>
  <cp:lastPrinted>2021-11-10T08:48:00Z</cp:lastPrinted>
  <dcterms:created xsi:type="dcterms:W3CDTF">2021-11-10T00:29:00Z</dcterms:created>
  <dcterms:modified xsi:type="dcterms:W3CDTF">2021-11-17T00:18:00Z</dcterms:modified>
</cp:coreProperties>
</file>