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838B5">
        <w:rPr>
          <w:rFonts w:ascii="Times New Roman" w:hAnsi="Times New Roman"/>
          <w:sz w:val="28"/>
          <w:szCs w:val="28"/>
        </w:rPr>
        <w:t>11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5838B5">
        <w:rPr>
          <w:rFonts w:ascii="Times New Roman" w:hAnsi="Times New Roman"/>
          <w:sz w:val="28"/>
          <w:szCs w:val="28"/>
        </w:rPr>
        <w:t xml:space="preserve">июня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838B5">
        <w:rPr>
          <w:rFonts w:ascii="Times New Roman" w:hAnsi="Times New Roman"/>
          <w:sz w:val="28"/>
          <w:szCs w:val="28"/>
        </w:rPr>
        <w:t>1147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B1401D" w:rsidRPr="00662F20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E8633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D56124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уровня обес</w:t>
            </w:r>
            <w:r w:rsidR="007B3EC0" w:rsidRPr="007B3EC0">
              <w:rPr>
                <w:rFonts w:ascii="Times New Roman" w:hAnsi="Times New Roman"/>
                <w:sz w:val="24"/>
                <w:szCs w:val="24"/>
              </w:rPr>
              <w:t>печения пожарной безопасности муниципальных учреждений.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ED56CC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Программы выделяется: </w:t>
            </w:r>
            <w:r w:rsidR="00B6549C">
              <w:rPr>
                <w:rFonts w:ascii="Times New Roman" w:hAnsi="Times New Roman"/>
                <w:sz w:val="24"/>
                <w:szCs w:val="24"/>
              </w:rPr>
              <w:t>98</w:t>
            </w:r>
            <w:r w:rsidR="00A60FD3">
              <w:rPr>
                <w:rFonts w:ascii="Times New Roman" w:hAnsi="Times New Roman"/>
                <w:sz w:val="24"/>
                <w:szCs w:val="24"/>
              </w:rPr>
              <w:t> </w:t>
            </w:r>
            <w:r w:rsidR="00B6549C">
              <w:rPr>
                <w:rFonts w:ascii="Times New Roman" w:hAnsi="Times New Roman"/>
                <w:sz w:val="24"/>
                <w:szCs w:val="24"/>
              </w:rPr>
              <w:t>441</w:t>
            </w:r>
            <w:r w:rsidR="00A60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549C">
              <w:rPr>
                <w:rFonts w:ascii="Times New Roman" w:hAnsi="Times New Roman"/>
                <w:sz w:val="24"/>
                <w:szCs w:val="24"/>
              </w:rPr>
              <w:t>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70E16">
              <w:rPr>
                <w:rFonts w:ascii="Times New Roman" w:hAnsi="Times New Roman"/>
                <w:sz w:val="24"/>
                <w:szCs w:val="24"/>
              </w:rPr>
              <w:t>95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D70E16">
              <w:rPr>
                <w:rFonts w:ascii="Times New Roman" w:hAnsi="Times New Roman"/>
                <w:sz w:val="24"/>
                <w:szCs w:val="24"/>
              </w:rPr>
              <w:t>997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A60FD3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70E16">
              <w:rPr>
                <w:rFonts w:ascii="Times New Roman" w:hAnsi="Times New Roman"/>
                <w:sz w:val="24"/>
                <w:szCs w:val="24"/>
              </w:rPr>
              <w:t>34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D70E16">
              <w:rPr>
                <w:rFonts w:ascii="Times New Roman" w:hAnsi="Times New Roman"/>
                <w:sz w:val="24"/>
                <w:szCs w:val="24"/>
              </w:rPr>
              <w:t>733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  <w:proofErr w:type="gramEnd"/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уровня обеспечения пожарной безопасности муниципальных учреждений.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lastRenderedPageBreak/>
        <w:t>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D56124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6124" w:rsidRPr="00D56124" w:rsidRDefault="00D56124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 w:rsidR="00AA7767"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</w:t>
      </w:r>
      <w:r w:rsidR="00AA7767" w:rsidRPr="00D56124">
        <w:rPr>
          <w:rFonts w:ascii="Times New Roman" w:hAnsi="Times New Roman"/>
          <w:sz w:val="28"/>
          <w:szCs w:val="28"/>
        </w:rPr>
        <w:t>урове</w:t>
      </w:r>
      <w:r w:rsidR="00AA7767"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в МАУ ДО ДООЦ «Взлет» в 2021 году.</w:t>
      </w:r>
    </w:p>
    <w:p w:rsidR="00D56124" w:rsidRPr="00D56124" w:rsidRDefault="00AA7767" w:rsidP="00AA7767">
      <w:pPr>
        <w:pStyle w:val="ConsPlusCell"/>
        <w:numPr>
          <w:ilvl w:val="0"/>
          <w:numId w:val="11"/>
        </w:numPr>
        <w:tabs>
          <w:tab w:val="left" w:pos="2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2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</w:t>
      </w:r>
      <w:r w:rsidRPr="00D56124">
        <w:rPr>
          <w:rFonts w:ascii="Times New Roman" w:hAnsi="Times New Roman"/>
          <w:sz w:val="28"/>
          <w:szCs w:val="28"/>
        </w:rPr>
        <w:t>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 w:cs="Times New Roman"/>
          <w:sz w:val="28"/>
          <w:szCs w:val="28"/>
        </w:rPr>
        <w:t xml:space="preserve">МБДОУ № 13 «Рябинушка» в 2021 году 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МБДОУ № 45 «Малыш» в 2021 году.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МБУК «Дворец культуры» в 2021 году.</w:t>
      </w:r>
    </w:p>
    <w:p w:rsidR="00881A6E" w:rsidRPr="00E47746" w:rsidRDefault="00881A6E" w:rsidP="00AA77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и показателей результативности Программы с расшифровкой плановых значений по годам ее реализации указаны в </w:t>
      </w:r>
      <w:r w:rsidRPr="00E47746">
        <w:rPr>
          <w:rFonts w:ascii="Times New Roman" w:hAnsi="Times New Roman" w:cs="Times New Roman"/>
          <w:sz w:val="28"/>
          <w:szCs w:val="28"/>
        </w:rPr>
        <w:lastRenderedPageBreak/>
        <w:t>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380B29" w:rsidRPr="007E23AF" w:rsidRDefault="008C2E0B" w:rsidP="00AB18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Pr="007E23AF" w:rsidRDefault="00380B29" w:rsidP="00AB1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8C2E0B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D1" w:rsidRPr="00E91D45" w:rsidRDefault="009D11D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9D11D1" w:rsidRPr="00E91D45" w:rsidRDefault="009D11D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D1" w:rsidRPr="00E91D45" w:rsidRDefault="009D11D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9D11D1" w:rsidRPr="00E91D45" w:rsidRDefault="009D11D1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D56CC">
        <w:pPr>
          <w:pStyle w:val="af0"/>
          <w:jc w:val="center"/>
        </w:pPr>
        <w:fldSimple w:instr=" PAGE   \* MERGEFORMAT ">
          <w:r w:rsidR="005838B5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5EA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DBF"/>
    <w:rsid w:val="0034648D"/>
    <w:rsid w:val="00352B8A"/>
    <w:rsid w:val="0035379C"/>
    <w:rsid w:val="0035661B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7175"/>
    <w:rsid w:val="00527D63"/>
    <w:rsid w:val="00530D90"/>
    <w:rsid w:val="00535014"/>
    <w:rsid w:val="00536ECD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41EE"/>
    <w:rsid w:val="005B5AAF"/>
    <w:rsid w:val="005C075A"/>
    <w:rsid w:val="005C2949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396A"/>
    <w:rsid w:val="006539A3"/>
    <w:rsid w:val="00657EEC"/>
    <w:rsid w:val="00661C8E"/>
    <w:rsid w:val="006629D7"/>
    <w:rsid w:val="00662F20"/>
    <w:rsid w:val="00665491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C11A6"/>
    <w:rsid w:val="007C34A8"/>
    <w:rsid w:val="007C7177"/>
    <w:rsid w:val="007C737B"/>
    <w:rsid w:val="007D023B"/>
    <w:rsid w:val="007D0922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48C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3C59"/>
    <w:rsid w:val="00E8633A"/>
    <w:rsid w:val="00E8770F"/>
    <w:rsid w:val="00E9131C"/>
    <w:rsid w:val="00E913C3"/>
    <w:rsid w:val="00EA008A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66561-77C9-4E75-BE00-5EB40A82B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2021-06-01T07:28:00Z</cp:lastPrinted>
  <dcterms:created xsi:type="dcterms:W3CDTF">2021-06-07T05:01:00Z</dcterms:created>
  <dcterms:modified xsi:type="dcterms:W3CDTF">2021-06-11T04:08:00Z</dcterms:modified>
</cp:coreProperties>
</file>