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C2" w:rsidRPr="00392C50" w:rsidRDefault="00CD35C2" w:rsidP="00CD35C2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74033D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C2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CD35C2" w:rsidRPr="00034784" w:rsidRDefault="00CD35C2" w:rsidP="00CD35C2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CD35C2" w:rsidRPr="00362B26" w:rsidRDefault="00CD35C2" w:rsidP="00CD35C2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CD35C2" w:rsidRPr="00034784" w:rsidRDefault="00CD35C2" w:rsidP="00CD35C2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CD35C2" w:rsidRPr="00FD6E55" w:rsidRDefault="00B71853" w:rsidP="00F67E36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23.03.</w:t>
      </w:r>
      <w:r w:rsidRPr="00CD35C2">
        <w:rPr>
          <w:sz w:val="24"/>
          <w:szCs w:val="24"/>
        </w:rPr>
        <w:t>2</w:t>
      </w:r>
      <w:r w:rsidR="00CD35C2" w:rsidRPr="00CD35C2">
        <w:rPr>
          <w:sz w:val="24"/>
          <w:szCs w:val="24"/>
        </w:rPr>
        <w:t>0</w:t>
      </w:r>
      <w:r w:rsidR="00E37539">
        <w:rPr>
          <w:sz w:val="24"/>
          <w:szCs w:val="24"/>
        </w:rPr>
        <w:t>20</w:t>
      </w:r>
      <w:r w:rsidR="00F67E36">
        <w:rPr>
          <w:sz w:val="24"/>
          <w:szCs w:val="24"/>
        </w:rPr>
        <w:tab/>
      </w:r>
      <w:r w:rsidR="00E37539">
        <w:rPr>
          <w:sz w:val="24"/>
          <w:szCs w:val="24"/>
        </w:rPr>
        <w:t xml:space="preserve">     </w:t>
      </w:r>
      <w:r w:rsidR="00845547">
        <w:rPr>
          <w:sz w:val="24"/>
          <w:szCs w:val="24"/>
        </w:rPr>
        <w:t xml:space="preserve">        </w:t>
      </w:r>
      <w:r w:rsidR="00FA5D6E">
        <w:rPr>
          <w:sz w:val="24"/>
          <w:szCs w:val="24"/>
        </w:rPr>
        <w:tab/>
      </w:r>
      <w:r w:rsidR="00FA5D6E">
        <w:rPr>
          <w:sz w:val="24"/>
          <w:szCs w:val="24"/>
        </w:rPr>
        <w:tab/>
      </w:r>
      <w:r w:rsidR="00FA5D6E">
        <w:rPr>
          <w:sz w:val="24"/>
          <w:szCs w:val="24"/>
        </w:rPr>
        <w:tab/>
      </w:r>
      <w:r w:rsidR="00FA5D6E">
        <w:rPr>
          <w:sz w:val="24"/>
          <w:szCs w:val="24"/>
        </w:rPr>
        <w:tab/>
      </w:r>
      <w:r w:rsidR="00FA5D6E">
        <w:rPr>
          <w:sz w:val="24"/>
          <w:szCs w:val="24"/>
        </w:rPr>
        <w:tab/>
        <w:t xml:space="preserve">       </w:t>
      </w:r>
      <w:r w:rsidR="00362B26" w:rsidRPr="00362B26">
        <w:rPr>
          <w:sz w:val="24"/>
          <w:szCs w:val="24"/>
        </w:rPr>
        <w:tab/>
      </w:r>
      <w:r w:rsidR="00362B26" w:rsidRPr="00362B26">
        <w:rPr>
          <w:sz w:val="24"/>
          <w:szCs w:val="24"/>
        </w:rPr>
        <w:tab/>
      </w:r>
      <w:r w:rsidR="00362B26" w:rsidRPr="00FD6E55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CD35C2" w:rsidRPr="00CD35C2">
        <w:rPr>
          <w:sz w:val="24"/>
          <w:szCs w:val="24"/>
        </w:rPr>
        <w:t>№</w:t>
      </w:r>
      <w:r w:rsidR="00E37539">
        <w:rPr>
          <w:sz w:val="24"/>
          <w:szCs w:val="24"/>
        </w:rPr>
        <w:t xml:space="preserve"> </w:t>
      </w:r>
      <w:r>
        <w:rPr>
          <w:sz w:val="24"/>
          <w:szCs w:val="24"/>
        </w:rPr>
        <w:t>591</w:t>
      </w:r>
    </w:p>
    <w:p w:rsidR="00CD35C2" w:rsidRPr="008379FA" w:rsidRDefault="00CD35C2" w:rsidP="00CD35C2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933BF5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CD35C2" w:rsidRPr="00034784" w:rsidRDefault="00CD35C2" w:rsidP="00CD35C2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CD35C2" w:rsidRPr="00034784" w:rsidRDefault="00CD35C2" w:rsidP="00CD35C2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CD35C2" w:rsidRPr="00034784" w:rsidRDefault="00CD35C2" w:rsidP="00CD35C2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CD35C2" w:rsidRPr="00034784" w:rsidRDefault="00CD35C2" w:rsidP="00CD35C2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CD35C2" w:rsidRPr="007C3791" w:rsidRDefault="00FA5D6E" w:rsidP="00CD3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г. Железногорск от 13.02.2013 </w:t>
      </w:r>
      <w:r w:rsidR="00933BF5">
        <w:rPr>
          <w:sz w:val="28"/>
          <w:szCs w:val="28"/>
        </w:rPr>
        <w:t>№</w:t>
      </w:r>
      <w:r w:rsidR="00E37539">
        <w:rPr>
          <w:sz w:val="28"/>
          <w:szCs w:val="28"/>
        </w:rPr>
        <w:t xml:space="preserve"> </w:t>
      </w:r>
      <w:r w:rsidR="00933BF5">
        <w:rPr>
          <w:sz w:val="28"/>
          <w:szCs w:val="28"/>
        </w:rPr>
        <w:t xml:space="preserve">245 </w:t>
      </w:r>
      <w:r>
        <w:rPr>
          <w:sz w:val="28"/>
          <w:szCs w:val="28"/>
        </w:rPr>
        <w:t>«</w:t>
      </w:r>
      <w:r w:rsidR="00CD35C2" w:rsidRPr="00211046">
        <w:rPr>
          <w:sz w:val="28"/>
          <w:szCs w:val="28"/>
        </w:rPr>
        <w:t>О</w:t>
      </w:r>
      <w:r w:rsidR="00CD35C2">
        <w:rPr>
          <w:sz w:val="28"/>
          <w:szCs w:val="28"/>
        </w:rPr>
        <w:t xml:space="preserve">б определении размера вреда, </w:t>
      </w:r>
      <w:r w:rsidR="002E0A2B" w:rsidRPr="007C3791">
        <w:rPr>
          <w:sz w:val="28"/>
          <w:szCs w:val="28"/>
        </w:rPr>
        <w:t>причиняемого транспортными средствами, осу</w:t>
      </w:r>
      <w:r w:rsidR="002E0A2B">
        <w:rPr>
          <w:sz w:val="28"/>
          <w:szCs w:val="28"/>
        </w:rPr>
        <w:t xml:space="preserve">ществляющими перевозки тяжеловесных грузов, </w:t>
      </w:r>
      <w:r w:rsidR="002E0A2B">
        <w:rPr>
          <w:rFonts w:eastAsiaTheme="minorHAnsi"/>
          <w:sz w:val="28"/>
          <w:szCs w:val="28"/>
          <w:lang w:eastAsia="en-US"/>
        </w:rPr>
        <w:t xml:space="preserve">при движении таких транспортных средств </w:t>
      </w:r>
      <w:r w:rsidR="002E0A2B">
        <w:rPr>
          <w:sz w:val="28"/>
          <w:szCs w:val="28"/>
        </w:rPr>
        <w:t>по автомобильным дорогам общего пользования местного значения ЗАТО Железногорск Красноярского края</w:t>
      </w:r>
      <w:r>
        <w:rPr>
          <w:sz w:val="28"/>
          <w:szCs w:val="28"/>
        </w:rPr>
        <w:t>»</w:t>
      </w:r>
    </w:p>
    <w:p w:rsidR="00CD35C2" w:rsidRPr="00211046" w:rsidRDefault="00CD35C2" w:rsidP="00CD35C2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D35C2" w:rsidRPr="007B5D41" w:rsidRDefault="00CD35C2" w:rsidP="00CD35C2">
      <w:pPr>
        <w:pStyle w:val="ConsNonformat"/>
        <w:widowControl/>
        <w:rPr>
          <w:rFonts w:ascii="Times New Roman" w:hAnsi="Times New Roman" w:cs="Times New Roman"/>
        </w:rPr>
      </w:pPr>
    </w:p>
    <w:p w:rsidR="00CD35C2" w:rsidRPr="00386DCE" w:rsidRDefault="00CD35C2" w:rsidP="00B63F4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по обеспечению безопасности дорожного движения и увеличения межремонтных сроков проведения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ЗАТО Же</w:t>
      </w:r>
      <w:r w:rsidRPr="007C3791">
        <w:rPr>
          <w:sz w:val="28"/>
          <w:szCs w:val="28"/>
        </w:rPr>
        <w:t>лезногорск, в соответствии с пунктом 9 статьи 31 Федераль</w:t>
      </w:r>
      <w:r>
        <w:rPr>
          <w:sz w:val="28"/>
          <w:szCs w:val="28"/>
        </w:rPr>
        <w:t xml:space="preserve">ного закона от 08.11.2007 № 257-ФЗ «Об автомобильных дорогах и о дорожной деятельности в </w:t>
      </w:r>
      <w:r w:rsidRPr="00386DCE">
        <w:rPr>
          <w:sz w:val="28"/>
          <w:szCs w:val="28"/>
        </w:rPr>
        <w:t xml:space="preserve">Российской Федерации и о внесении изменений в отдельные законодательные акты Российской Федерации», </w:t>
      </w:r>
      <w:r w:rsidR="00933BF5" w:rsidRPr="00386DCE">
        <w:rPr>
          <w:sz w:val="28"/>
          <w:szCs w:val="28"/>
        </w:rPr>
        <w:t>п</w:t>
      </w:r>
      <w:r w:rsidRPr="00386DCE">
        <w:rPr>
          <w:sz w:val="28"/>
          <w:szCs w:val="28"/>
        </w:rPr>
        <w:t xml:space="preserve">остановлением Правительства Российской Федерации </w:t>
      </w:r>
      <w:r w:rsidR="00B63F40">
        <w:rPr>
          <w:sz w:val="28"/>
          <w:szCs w:val="28"/>
        </w:rPr>
        <w:t xml:space="preserve">от </w:t>
      </w:r>
      <w:r w:rsidR="00386DCE">
        <w:rPr>
          <w:rFonts w:eastAsiaTheme="minorHAnsi"/>
          <w:sz w:val="28"/>
          <w:szCs w:val="28"/>
          <w:lang w:eastAsia="en-US"/>
        </w:rPr>
        <w:t>31.01.2020 №</w:t>
      </w:r>
      <w:r w:rsidR="00386DCE" w:rsidRPr="00386DCE">
        <w:rPr>
          <w:rFonts w:eastAsiaTheme="minorHAnsi"/>
          <w:sz w:val="28"/>
          <w:szCs w:val="28"/>
          <w:lang w:eastAsia="en-US"/>
        </w:rPr>
        <w:t xml:space="preserve"> 67</w:t>
      </w:r>
      <w:r w:rsidR="00386DCE">
        <w:rPr>
          <w:rFonts w:eastAsiaTheme="minorHAnsi"/>
          <w:sz w:val="28"/>
          <w:szCs w:val="28"/>
          <w:lang w:eastAsia="en-US"/>
        </w:rPr>
        <w:t xml:space="preserve"> «</w:t>
      </w:r>
      <w:r w:rsidR="00386DCE" w:rsidRPr="00386DCE">
        <w:rPr>
          <w:rFonts w:eastAsiaTheme="minorHAnsi"/>
          <w:sz w:val="28"/>
          <w:szCs w:val="28"/>
          <w:lang w:eastAsia="en-US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 w:rsidR="00386DCE">
        <w:rPr>
          <w:rFonts w:eastAsiaTheme="minorHAnsi"/>
          <w:sz w:val="28"/>
          <w:szCs w:val="28"/>
          <w:lang w:eastAsia="en-US"/>
        </w:rPr>
        <w:t>вительства Российской Федерации»</w:t>
      </w:r>
      <w:r w:rsidR="00386DCE">
        <w:rPr>
          <w:sz w:val="28"/>
          <w:szCs w:val="28"/>
        </w:rPr>
        <w:t>,</w:t>
      </w:r>
      <w:r w:rsidRPr="00386DCE">
        <w:rPr>
          <w:sz w:val="28"/>
          <w:szCs w:val="28"/>
        </w:rPr>
        <w:t xml:space="preserve"> </w:t>
      </w:r>
      <w:proofErr w:type="gramStart"/>
      <w:r w:rsidRPr="00386DCE">
        <w:rPr>
          <w:sz w:val="28"/>
          <w:szCs w:val="28"/>
        </w:rPr>
        <w:t>Уставом</w:t>
      </w:r>
      <w:proofErr w:type="gramEnd"/>
      <w:r w:rsidRPr="00386DCE">
        <w:rPr>
          <w:sz w:val="28"/>
          <w:szCs w:val="28"/>
        </w:rPr>
        <w:t xml:space="preserve"> ЗАТО Железногорск, </w:t>
      </w:r>
    </w:p>
    <w:p w:rsidR="00CD35C2" w:rsidRPr="007B5D41" w:rsidRDefault="00CD35C2" w:rsidP="00CD35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5C2" w:rsidRPr="007B5D41" w:rsidRDefault="00CD35C2" w:rsidP="00CD35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CD35C2" w:rsidRPr="007B5D41" w:rsidRDefault="00CD35C2" w:rsidP="00CD35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BF5" w:rsidRDefault="00FA5D6E" w:rsidP="00021ABC">
      <w:pPr>
        <w:pStyle w:val="a6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21ABC">
        <w:rPr>
          <w:sz w:val="28"/>
          <w:szCs w:val="28"/>
        </w:rPr>
        <w:t xml:space="preserve">Внести следующие изменения в постановление Администрации ЗАТО г. Железногорск от 13.02.2013 </w:t>
      </w:r>
      <w:r w:rsidR="00933BF5">
        <w:rPr>
          <w:sz w:val="28"/>
          <w:szCs w:val="28"/>
        </w:rPr>
        <w:t>№</w:t>
      </w:r>
      <w:r w:rsidR="00E37539">
        <w:rPr>
          <w:sz w:val="28"/>
          <w:szCs w:val="28"/>
        </w:rPr>
        <w:t xml:space="preserve"> </w:t>
      </w:r>
      <w:r w:rsidR="00933BF5">
        <w:rPr>
          <w:sz w:val="28"/>
          <w:szCs w:val="28"/>
        </w:rPr>
        <w:t xml:space="preserve">245 </w:t>
      </w:r>
      <w:r w:rsidRPr="00021ABC">
        <w:rPr>
          <w:sz w:val="28"/>
          <w:szCs w:val="28"/>
        </w:rPr>
        <w:t xml:space="preserve">«Об определении размера вреда, причиняемого транспортными средствами, осуществляющими перевозки тяжеловесных грузов, </w:t>
      </w:r>
      <w:r w:rsidRPr="00021ABC">
        <w:rPr>
          <w:rFonts w:eastAsiaTheme="minorHAnsi"/>
          <w:sz w:val="28"/>
          <w:szCs w:val="28"/>
          <w:lang w:eastAsia="en-US"/>
        </w:rPr>
        <w:t xml:space="preserve">при движении таких транспортных средств </w:t>
      </w:r>
      <w:r w:rsidRPr="00021ABC">
        <w:rPr>
          <w:sz w:val="28"/>
          <w:szCs w:val="28"/>
        </w:rPr>
        <w:t>по автомобильным дорогам общего пользования местного значения ЗАТО Железногорск Красноярского края»:</w:t>
      </w:r>
      <w:r w:rsidR="00021ABC" w:rsidRPr="00021ABC">
        <w:rPr>
          <w:sz w:val="28"/>
          <w:szCs w:val="28"/>
        </w:rPr>
        <w:t xml:space="preserve"> </w:t>
      </w:r>
    </w:p>
    <w:p w:rsidR="00F01428" w:rsidRPr="00386DCE" w:rsidRDefault="00386DCE" w:rsidP="00386DCE">
      <w:pPr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86DC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="00F01428" w:rsidRPr="00386DCE">
        <w:rPr>
          <w:sz w:val="28"/>
          <w:szCs w:val="28"/>
        </w:rPr>
        <w:t>Преамбулу постановления изложить в новой редакции</w:t>
      </w:r>
      <w:r w:rsidRPr="00386DCE">
        <w:rPr>
          <w:sz w:val="28"/>
          <w:szCs w:val="28"/>
        </w:rPr>
        <w:t>:</w:t>
      </w:r>
    </w:p>
    <w:p w:rsidR="00386DCE" w:rsidRDefault="00386DCE" w:rsidP="00B63F4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решения вопросов по обеспечению безопасности дорожного движения и увеличения межремонтных сроков проведения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ЗАТО Же</w:t>
      </w:r>
      <w:r w:rsidRPr="007C3791">
        <w:rPr>
          <w:sz w:val="28"/>
          <w:szCs w:val="28"/>
        </w:rPr>
        <w:t>лезногорск, в соответствии с пунктом 9 статьи 31 Федераль</w:t>
      </w:r>
      <w:r>
        <w:rPr>
          <w:sz w:val="28"/>
          <w:szCs w:val="28"/>
        </w:rPr>
        <w:t xml:space="preserve">ного закона от 08.11.2007 № 257-ФЗ «Об автомобильных дорогах и о дорожной деятельности в </w:t>
      </w:r>
      <w:r w:rsidRPr="00386DCE">
        <w:rPr>
          <w:sz w:val="28"/>
          <w:szCs w:val="28"/>
        </w:rPr>
        <w:t xml:space="preserve">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</w:t>
      </w:r>
      <w:r w:rsidR="00B63F40">
        <w:rPr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31.01.2020 №</w:t>
      </w:r>
      <w:r w:rsidRPr="00386DCE">
        <w:rPr>
          <w:rFonts w:eastAsiaTheme="minorHAnsi"/>
          <w:sz w:val="28"/>
          <w:szCs w:val="28"/>
          <w:lang w:eastAsia="en-US"/>
        </w:rPr>
        <w:t xml:space="preserve"> 67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86DCE">
        <w:rPr>
          <w:rFonts w:eastAsiaTheme="minorHAnsi"/>
          <w:sz w:val="28"/>
          <w:szCs w:val="28"/>
          <w:lang w:eastAsia="en-US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>
        <w:rPr>
          <w:rFonts w:eastAsiaTheme="minorHAnsi"/>
          <w:sz w:val="28"/>
          <w:szCs w:val="28"/>
          <w:lang w:eastAsia="en-US"/>
        </w:rPr>
        <w:t>вительства Российской Федерации»</w:t>
      </w:r>
      <w:r>
        <w:rPr>
          <w:sz w:val="28"/>
          <w:szCs w:val="28"/>
        </w:rPr>
        <w:t>,</w:t>
      </w:r>
      <w:r w:rsidRPr="00386DCE">
        <w:rPr>
          <w:sz w:val="28"/>
          <w:szCs w:val="28"/>
        </w:rPr>
        <w:t xml:space="preserve"> </w:t>
      </w:r>
      <w:proofErr w:type="gramStart"/>
      <w:r w:rsidRPr="00386DCE"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Железногорск».</w:t>
      </w:r>
      <w:r w:rsidRPr="00386DCE">
        <w:rPr>
          <w:sz w:val="28"/>
          <w:szCs w:val="28"/>
        </w:rPr>
        <w:t xml:space="preserve"> </w:t>
      </w:r>
    </w:p>
    <w:p w:rsidR="0038438A" w:rsidRDefault="0038438A" w:rsidP="0038438A">
      <w:pPr>
        <w:pStyle w:val="a6"/>
        <w:widowControl/>
        <w:ind w:left="786"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81303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 xml:space="preserve">постановления </w:t>
      </w:r>
      <w:r w:rsidRPr="00E81303">
        <w:rPr>
          <w:sz w:val="28"/>
          <w:szCs w:val="28"/>
        </w:rPr>
        <w:t>изложить в новой редакции:</w:t>
      </w:r>
    </w:p>
    <w:p w:rsidR="0038438A" w:rsidRPr="00386DCE" w:rsidRDefault="0038438A" w:rsidP="00B63F40">
      <w:pPr>
        <w:pStyle w:val="a6"/>
        <w:ind w:left="0" w:firstLine="567"/>
        <w:jc w:val="both"/>
        <w:rPr>
          <w:sz w:val="28"/>
          <w:szCs w:val="28"/>
        </w:rPr>
      </w:pPr>
      <w:r w:rsidRPr="00E813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3. </w:t>
      </w:r>
      <w:r w:rsidRPr="00E81303">
        <w:rPr>
          <w:sz w:val="28"/>
          <w:szCs w:val="28"/>
        </w:rPr>
        <w:t xml:space="preserve">Наделить первого заместителя Главы ЗАТО г. Железногорск по жилищно-коммунальному хозяйству </w:t>
      </w:r>
      <w:r>
        <w:rPr>
          <w:sz w:val="28"/>
          <w:szCs w:val="28"/>
        </w:rPr>
        <w:t>А.А. Сергейкина</w:t>
      </w:r>
      <w:r w:rsidRPr="00E81303">
        <w:rPr>
          <w:sz w:val="28"/>
          <w:szCs w:val="28"/>
        </w:rPr>
        <w:t xml:space="preserve"> полномочиями по подписанию разрешения на движение транспортных средств, осуществляющих перевозки тяжеловесных грузов, при движении таких транспортных средств по автомобильным дорогам общего пользования местного значения ЗАТО Железногорск Красноярского края».</w:t>
      </w:r>
    </w:p>
    <w:p w:rsidR="00FA5D6E" w:rsidRPr="00021ABC" w:rsidRDefault="0038438A" w:rsidP="00933BF5">
      <w:pPr>
        <w:pStyle w:val="a6"/>
        <w:widowControl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86DCE">
        <w:rPr>
          <w:sz w:val="28"/>
          <w:szCs w:val="28"/>
        </w:rPr>
        <w:t xml:space="preserve">. </w:t>
      </w:r>
      <w:r w:rsidR="00386DCE" w:rsidRPr="00021ABC">
        <w:rPr>
          <w:sz w:val="28"/>
          <w:szCs w:val="28"/>
        </w:rPr>
        <w:t>Приложение № 1 «</w:t>
      </w:r>
      <w:r w:rsidR="00386DCE">
        <w:rPr>
          <w:sz w:val="28"/>
          <w:szCs w:val="28"/>
        </w:rPr>
        <w:t>Показатели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ЗАТО Железногорск»</w:t>
      </w:r>
      <w:r w:rsidR="00386DCE" w:rsidRPr="00021ABC">
        <w:rPr>
          <w:sz w:val="28"/>
          <w:szCs w:val="28"/>
        </w:rPr>
        <w:t xml:space="preserve"> изложить в новой редакции </w:t>
      </w:r>
      <w:r w:rsidR="00386DCE">
        <w:rPr>
          <w:sz w:val="28"/>
          <w:szCs w:val="28"/>
        </w:rPr>
        <w:t>согласно приложению к настоящему постановлению</w:t>
      </w:r>
      <w:r w:rsidR="00386DCE" w:rsidRPr="00021ABC">
        <w:rPr>
          <w:sz w:val="28"/>
          <w:szCs w:val="28"/>
        </w:rPr>
        <w:t>.</w:t>
      </w:r>
    </w:p>
    <w:p w:rsidR="00CD35C2" w:rsidRDefault="00021ABC" w:rsidP="00CD35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5C2" w:rsidRPr="00D645EB">
        <w:rPr>
          <w:rFonts w:ascii="Times New Roman" w:hAnsi="Times New Roman" w:cs="Times New Roman"/>
          <w:sz w:val="28"/>
          <w:szCs w:val="28"/>
        </w:rPr>
        <w:t xml:space="preserve">. </w:t>
      </w:r>
      <w:r w:rsidR="00FD6E55" w:rsidRPr="00216B11">
        <w:rPr>
          <w:rFonts w:ascii="Times New Roman" w:hAnsi="Times New Roman"/>
          <w:sz w:val="28"/>
          <w:szCs w:val="28"/>
        </w:rPr>
        <w:t>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CD35C2" w:rsidRDefault="00021ABC" w:rsidP="00CD35C2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5C2">
        <w:rPr>
          <w:sz w:val="28"/>
          <w:szCs w:val="28"/>
        </w:rPr>
        <w:t xml:space="preserve">. </w:t>
      </w:r>
      <w:r w:rsidR="00FD6E55" w:rsidRPr="00216B11">
        <w:rPr>
          <w:sz w:val="28"/>
          <w:szCs w:val="28"/>
        </w:rPr>
        <w:t>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D35C2" w:rsidRPr="00D645EB" w:rsidRDefault="00021ABC" w:rsidP="00CD35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35C2" w:rsidRPr="00D645EB">
        <w:rPr>
          <w:rFonts w:ascii="Times New Roman" w:hAnsi="Times New Roman" w:cs="Times New Roman"/>
          <w:sz w:val="28"/>
          <w:szCs w:val="28"/>
        </w:rPr>
        <w:t xml:space="preserve">. </w:t>
      </w:r>
      <w:r w:rsidR="00FD6E55" w:rsidRPr="00216B1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FD6E55">
        <w:rPr>
          <w:rFonts w:ascii="Times New Roman" w:hAnsi="Times New Roman" w:cs="Times New Roman"/>
          <w:sz w:val="28"/>
          <w:szCs w:val="28"/>
        </w:rPr>
        <w:t>А.А. Сергейкина</w:t>
      </w:r>
      <w:r w:rsidR="00FD6E55" w:rsidRPr="00216B11">
        <w:rPr>
          <w:rFonts w:ascii="Times New Roman" w:hAnsi="Times New Roman" w:cs="Times New Roman"/>
          <w:sz w:val="28"/>
          <w:szCs w:val="28"/>
        </w:rPr>
        <w:t>.</w:t>
      </w:r>
    </w:p>
    <w:p w:rsidR="00CD35C2" w:rsidRPr="00D645EB" w:rsidRDefault="00021ABC" w:rsidP="00CD35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5C2" w:rsidRPr="00D645EB">
        <w:rPr>
          <w:rFonts w:ascii="Times New Roman" w:hAnsi="Times New Roman" w:cs="Times New Roman"/>
          <w:sz w:val="28"/>
          <w:szCs w:val="28"/>
        </w:rPr>
        <w:t xml:space="preserve">. </w:t>
      </w:r>
      <w:r w:rsidR="00CD35C2">
        <w:rPr>
          <w:rFonts w:ascii="Times New Roman" w:hAnsi="Times New Roman" w:cs="Times New Roman"/>
          <w:sz w:val="28"/>
          <w:szCs w:val="28"/>
        </w:rPr>
        <w:t>Настоящее п</w:t>
      </w:r>
      <w:r w:rsidR="00CD35C2" w:rsidRPr="00D645EB"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</w:t>
      </w:r>
      <w:r w:rsidR="00CD35C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D35C2" w:rsidRPr="00D645E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D35C2">
        <w:rPr>
          <w:rFonts w:ascii="Times New Roman" w:hAnsi="Times New Roman" w:cs="Times New Roman"/>
          <w:sz w:val="28"/>
          <w:szCs w:val="28"/>
        </w:rPr>
        <w:t>.</w:t>
      </w:r>
    </w:p>
    <w:p w:rsidR="00CD35C2" w:rsidRPr="001B6320" w:rsidRDefault="00CD35C2" w:rsidP="00CD35C2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6"/>
        </w:rPr>
      </w:pPr>
    </w:p>
    <w:p w:rsidR="00CD35C2" w:rsidRPr="001B6320" w:rsidRDefault="00CD35C2" w:rsidP="00CD35C2">
      <w:pPr>
        <w:pStyle w:val="ConsNonformat"/>
        <w:widowControl/>
        <w:ind w:firstLine="540"/>
        <w:rPr>
          <w:rFonts w:ascii="Times New Roman" w:hAnsi="Times New Roman" w:cs="Times New Roman"/>
          <w:sz w:val="24"/>
          <w:szCs w:val="26"/>
        </w:rPr>
      </w:pPr>
    </w:p>
    <w:p w:rsidR="00FD6E55" w:rsidRPr="00AF083F" w:rsidRDefault="00FD6E55" w:rsidP="00FD6E55">
      <w:pPr>
        <w:spacing w:line="276" w:lineRule="auto"/>
        <w:jc w:val="both"/>
        <w:outlineLvl w:val="2"/>
        <w:rPr>
          <w:sz w:val="28"/>
          <w:szCs w:val="28"/>
        </w:rPr>
      </w:pPr>
      <w:r w:rsidRPr="00AF083F">
        <w:rPr>
          <w:sz w:val="28"/>
          <w:szCs w:val="28"/>
        </w:rPr>
        <w:t xml:space="preserve">Глава ЗАТО г. Железногорск                                                   </w:t>
      </w:r>
      <w:r w:rsidRPr="00AF083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AF083F">
        <w:rPr>
          <w:sz w:val="28"/>
          <w:szCs w:val="28"/>
        </w:rPr>
        <w:t>И.Г. Куксин</w:t>
      </w:r>
    </w:p>
    <w:p w:rsidR="00FA5D6E" w:rsidRDefault="00CD35C2" w:rsidP="00CD35C2">
      <w:pPr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D6E" w:rsidRDefault="00FA5D6E" w:rsidP="00CD35C2">
      <w:pPr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5D6E" w:rsidRDefault="00FA5D6E" w:rsidP="00FA5D6E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ЗАТО г.</w:t>
      </w:r>
      <w:r w:rsidR="00933BF5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FA5D6E" w:rsidRPr="00FD6E55" w:rsidRDefault="00FA5D6E" w:rsidP="00CD35C2">
      <w:pPr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853">
        <w:rPr>
          <w:sz w:val="28"/>
          <w:szCs w:val="28"/>
        </w:rPr>
        <w:t>23.03.20</w:t>
      </w:r>
      <w:r w:rsidR="00386DC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71853">
        <w:rPr>
          <w:sz w:val="28"/>
          <w:szCs w:val="28"/>
        </w:rPr>
        <w:t>591</w:t>
      </w:r>
    </w:p>
    <w:p w:rsidR="00FA5D6E" w:rsidRDefault="00FA5D6E" w:rsidP="00CD35C2">
      <w:pPr>
        <w:ind w:left="5103"/>
        <w:jc w:val="both"/>
        <w:outlineLvl w:val="0"/>
        <w:rPr>
          <w:sz w:val="28"/>
          <w:szCs w:val="28"/>
        </w:rPr>
      </w:pPr>
    </w:p>
    <w:p w:rsidR="00CD35C2" w:rsidRDefault="00CD35C2" w:rsidP="00CD35C2">
      <w:pPr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D35C2" w:rsidRDefault="00CD35C2" w:rsidP="00CD35C2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ЗАТО г.</w:t>
      </w:r>
      <w:r w:rsidR="00933BF5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CD35C2" w:rsidRPr="00A53EF1" w:rsidRDefault="00CD35C2" w:rsidP="004664B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5547">
        <w:rPr>
          <w:sz w:val="28"/>
          <w:szCs w:val="28"/>
        </w:rPr>
        <w:t>13.02.</w:t>
      </w:r>
      <w:r w:rsidRPr="00CD35C2">
        <w:rPr>
          <w:sz w:val="28"/>
          <w:szCs w:val="28"/>
        </w:rPr>
        <w:t>2013</w:t>
      </w:r>
      <w:r>
        <w:rPr>
          <w:sz w:val="28"/>
          <w:szCs w:val="28"/>
        </w:rPr>
        <w:t xml:space="preserve"> № </w:t>
      </w:r>
      <w:r w:rsidR="00845547">
        <w:rPr>
          <w:sz w:val="28"/>
          <w:szCs w:val="28"/>
        </w:rPr>
        <w:t>245</w:t>
      </w:r>
    </w:p>
    <w:p w:rsidR="004664B7" w:rsidRPr="00A53EF1" w:rsidRDefault="004664B7" w:rsidP="00CD35C2">
      <w:pPr>
        <w:jc w:val="center"/>
        <w:rPr>
          <w:sz w:val="28"/>
          <w:szCs w:val="28"/>
        </w:rPr>
      </w:pPr>
    </w:p>
    <w:p w:rsidR="00CD35C2" w:rsidRPr="00FA5D6E" w:rsidRDefault="00FA5D6E" w:rsidP="00CD35C2">
      <w:pPr>
        <w:pStyle w:val="ConsPlusTitle"/>
        <w:jc w:val="center"/>
        <w:rPr>
          <w:b w:val="0"/>
        </w:rPr>
      </w:pPr>
      <w:r>
        <w:rPr>
          <w:rFonts w:eastAsiaTheme="minorHAnsi"/>
          <w:b w:val="0"/>
          <w:szCs w:val="24"/>
          <w:lang w:eastAsia="en-US"/>
        </w:rPr>
        <w:t xml:space="preserve">Показатели размера вреда, причиняемого транспортными средствами, осуществляющими перевозки тяжеловесных грузов по автомобильных дорогам общего пользования местного значения ЗАТО Железногорск </w:t>
      </w:r>
    </w:p>
    <w:p w:rsidR="00CD35C2" w:rsidRPr="00382E64" w:rsidRDefault="00CD35C2" w:rsidP="00CD35C2">
      <w:pPr>
        <w:pStyle w:val="ConsPlusTitle"/>
        <w:jc w:val="right"/>
        <w:rPr>
          <w:b w:val="0"/>
        </w:rPr>
      </w:pPr>
    </w:p>
    <w:p w:rsidR="00CD35C2" w:rsidRDefault="00CD35C2" w:rsidP="00CD35C2">
      <w:pPr>
        <w:pStyle w:val="ConsPlusTitle"/>
        <w:jc w:val="right"/>
        <w:rPr>
          <w:b w:val="0"/>
        </w:rPr>
      </w:pPr>
      <w:r>
        <w:rPr>
          <w:b w:val="0"/>
        </w:rPr>
        <w:t>Таблица 1</w:t>
      </w:r>
    </w:p>
    <w:p w:rsidR="00A53EF1" w:rsidRPr="00A53EF1" w:rsidRDefault="00A53EF1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A53EF1">
        <w:rPr>
          <w:rFonts w:eastAsiaTheme="minorHAnsi"/>
          <w:bCs/>
          <w:sz w:val="28"/>
          <w:szCs w:val="28"/>
          <w:lang w:eastAsia="en-US"/>
        </w:rPr>
        <w:t>РАЗМЕР</w:t>
      </w:r>
    </w:p>
    <w:p w:rsidR="00A53EF1" w:rsidRPr="00A53EF1" w:rsidRDefault="00A53EF1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A53EF1">
        <w:rPr>
          <w:rFonts w:eastAsiaTheme="minorHAnsi"/>
          <w:bCs/>
          <w:sz w:val="28"/>
          <w:szCs w:val="28"/>
          <w:lang w:eastAsia="en-US"/>
        </w:rPr>
        <w:t>вреда, причиняемого тяжеловесными транспортными средствами,</w:t>
      </w:r>
    </w:p>
    <w:p w:rsidR="00A53EF1" w:rsidRPr="00A53EF1" w:rsidRDefault="00A53EF1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A53EF1">
        <w:rPr>
          <w:rFonts w:eastAsiaTheme="minorHAnsi"/>
          <w:bCs/>
          <w:sz w:val="28"/>
          <w:szCs w:val="28"/>
          <w:lang w:eastAsia="en-US"/>
        </w:rPr>
        <w:t>при движении таких транспортных средств по автомобильным</w:t>
      </w:r>
    </w:p>
    <w:p w:rsidR="00E84405" w:rsidRDefault="00A53EF1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A53EF1">
        <w:rPr>
          <w:rFonts w:eastAsiaTheme="minorHAnsi"/>
          <w:bCs/>
          <w:sz w:val="28"/>
          <w:szCs w:val="28"/>
          <w:lang w:eastAsia="en-US"/>
        </w:rPr>
        <w:t xml:space="preserve">дорогам </w:t>
      </w:r>
      <w:r w:rsidR="00E84405" w:rsidRPr="004664B7">
        <w:rPr>
          <w:rFonts w:eastAsiaTheme="minorHAnsi"/>
          <w:sz w:val="28"/>
          <w:szCs w:val="24"/>
          <w:lang w:eastAsia="en-US"/>
        </w:rPr>
        <w:t>общего пользования местного значения ЗАТО Железногорск</w:t>
      </w:r>
      <w:r w:rsidRPr="00A53EF1">
        <w:rPr>
          <w:rFonts w:eastAsiaTheme="minorHAnsi"/>
          <w:bCs/>
          <w:sz w:val="28"/>
          <w:szCs w:val="28"/>
          <w:lang w:eastAsia="en-US"/>
        </w:rPr>
        <w:t>, рассчитанным под осевую</w:t>
      </w:r>
      <w:r w:rsidR="00E844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53EF1">
        <w:rPr>
          <w:rFonts w:eastAsiaTheme="minorHAnsi"/>
          <w:bCs/>
          <w:sz w:val="28"/>
          <w:szCs w:val="28"/>
          <w:lang w:eastAsia="en-US"/>
        </w:rPr>
        <w:t>нагрузку 10 т</w:t>
      </w:r>
      <w:r w:rsidR="00E84405">
        <w:rPr>
          <w:rFonts w:eastAsiaTheme="minorHAnsi"/>
          <w:bCs/>
          <w:sz w:val="28"/>
          <w:szCs w:val="28"/>
          <w:lang w:eastAsia="en-US"/>
        </w:rPr>
        <w:t>онн/ось</w:t>
      </w:r>
      <w:r w:rsidRPr="00A53EF1">
        <w:rPr>
          <w:rFonts w:eastAsiaTheme="minorHAnsi"/>
          <w:bCs/>
          <w:sz w:val="28"/>
          <w:szCs w:val="28"/>
          <w:lang w:eastAsia="en-US"/>
        </w:rPr>
        <w:t xml:space="preserve">, </w:t>
      </w:r>
    </w:p>
    <w:p w:rsidR="00A53EF1" w:rsidRDefault="00A53EF1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A53EF1">
        <w:rPr>
          <w:rFonts w:eastAsiaTheme="minorHAnsi"/>
          <w:bCs/>
          <w:sz w:val="28"/>
          <w:szCs w:val="28"/>
          <w:lang w:eastAsia="en-US"/>
        </w:rPr>
        <w:t>от превышения допустимых нагрузок</w:t>
      </w:r>
      <w:r w:rsidR="00E844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53EF1">
        <w:rPr>
          <w:rFonts w:eastAsiaTheme="minorHAnsi"/>
          <w:bCs/>
          <w:sz w:val="28"/>
          <w:szCs w:val="28"/>
          <w:lang w:eastAsia="en-US"/>
        </w:rPr>
        <w:t>на каждую ось транспортного средства</w:t>
      </w:r>
    </w:p>
    <w:p w:rsidR="00361E1C" w:rsidRDefault="00361E1C" w:rsidP="00A53EF1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8930" w:type="dxa"/>
        <w:tblInd w:w="96" w:type="dxa"/>
        <w:tblLook w:val="04A0"/>
      </w:tblPr>
      <w:tblGrid>
        <w:gridCol w:w="3685"/>
        <w:gridCol w:w="5245"/>
      </w:tblGrid>
      <w:tr w:rsidR="00B71853" w:rsidRPr="00361E1C" w:rsidTr="00B71853">
        <w:trPr>
          <w:trHeight w:val="12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361E1C">
              <w:rPr>
                <w:color w:val="000000"/>
                <w:sz w:val="24"/>
                <w:szCs w:val="24"/>
              </w:rPr>
              <w:t>допустимыми</w:t>
            </w:r>
            <w:proofErr w:type="gramEnd"/>
            <w:r w:rsidRPr="00361E1C">
              <w:rPr>
                <w:color w:val="000000"/>
                <w:sz w:val="24"/>
                <w:szCs w:val="24"/>
              </w:rPr>
              <w:t xml:space="preserve"> (процентов)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Размер вреда, рубли на 100 км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свыше 2 до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1357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 (включительно) до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1376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 (включительно) до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1403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 (включительно) до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1437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6 (включительно) до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1478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7 (включительно) до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1525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8 (включительно) до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1579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9 (включительно) до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10 (включительно) до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1707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11 (включительно) до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1781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12 (включительно) до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1861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13 (включительно) до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1947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14 (включительно) до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2040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15 (включительно) до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2140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16 (включительно) до 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2245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17 (включительно) до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2357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18 (включительно) до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2475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19 (включительно) до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2599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20 (включительно) до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2729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21 (включительно) до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2866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22 (включительно) до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3008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lastRenderedPageBreak/>
              <w:t>от 23 (включительно) до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3157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24 (включительно) до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3312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25 (включительно) до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3472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26 (включительно) до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3639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27 (включительно) до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3812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28 (включительно) до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3991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29 (включительно) до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4175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30 (включительно) до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4366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31 (включительно) до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4563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32 (включительно) до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4765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33 (включительно) до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4974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34 (включительно) до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5188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35 (включительно) до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5408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36 (включительно) до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5635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37 (включительно) до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5867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38 (включительно) до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6104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39 (включительно) до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6348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40 (включительно) до 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6597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41 (включительно) до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6853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42 (включительно) до 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7114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43 (включительно) до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7381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44 (включительно) до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7653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45 (включительно) до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7932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46 (включительно) до 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8216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47 (включительно) до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8506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48 (включительно) до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8801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49 (включительно) до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9102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50 (включительно) до 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9409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51 (включительно) до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9722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52 (включительно) до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10041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53 (включительно) до 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10365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54 (включительно) до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10694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55 (включительно) до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11030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56 (включительно) до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11371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57 (включительно) до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11718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58 (включительно) до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12070</w:t>
            </w:r>
          </w:p>
        </w:tc>
      </w:tr>
      <w:tr w:rsidR="00B71853" w:rsidRPr="00361E1C" w:rsidTr="00B71853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59 (включительно) до 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12428</w:t>
            </w:r>
          </w:p>
        </w:tc>
      </w:tr>
      <w:tr w:rsidR="00B71853" w:rsidRPr="00361E1C" w:rsidTr="00B71853">
        <w:trPr>
          <w:trHeight w:val="225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361E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1E1C">
              <w:rPr>
                <w:color w:val="000000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53" w:rsidRPr="00361E1C" w:rsidRDefault="00B71853" w:rsidP="00B718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proofErr w:type="gramStart"/>
              <w:r w:rsidRPr="00361E1C">
                <w:rPr>
                  <w:color w:val="000000"/>
                  <w:sz w:val="24"/>
                  <w:szCs w:val="24"/>
                </w:rPr>
  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</w:t>
              </w:r>
              <w:r>
                <w:rPr>
                  <w:color w:val="000000"/>
                  <w:sz w:val="24"/>
                  <w:szCs w:val="24"/>
                </w:rPr>
                <w:t>№</w:t>
              </w:r>
              <w:r w:rsidRPr="00361E1C">
                <w:rPr>
                  <w:color w:val="000000"/>
                  <w:sz w:val="24"/>
                  <w:szCs w:val="24"/>
                </w:rPr>
                <w:t>67</w:t>
              </w:r>
            </w:hyperlink>
            <w:proofErr w:type="gramEnd"/>
          </w:p>
        </w:tc>
      </w:tr>
    </w:tbl>
    <w:p w:rsidR="00361E1C" w:rsidRDefault="00361E1C" w:rsidP="00361E1C">
      <w:pPr>
        <w:widowControl/>
        <w:rPr>
          <w:rFonts w:eastAsiaTheme="minorHAnsi"/>
          <w:bCs/>
          <w:sz w:val="28"/>
          <w:szCs w:val="28"/>
          <w:lang w:eastAsia="en-US"/>
        </w:rPr>
      </w:pPr>
    </w:p>
    <w:p w:rsidR="003A6D78" w:rsidRDefault="003A6D78" w:rsidP="00CD35C2">
      <w:pPr>
        <w:pStyle w:val="ConsPlusTitle"/>
        <w:jc w:val="right"/>
        <w:rPr>
          <w:b w:val="0"/>
        </w:rPr>
      </w:pPr>
    </w:p>
    <w:p w:rsidR="00CD35C2" w:rsidRDefault="00CD35C2" w:rsidP="00CD35C2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Таблица</w:t>
      </w:r>
      <w:r w:rsidRPr="004D756B">
        <w:rPr>
          <w:b w:val="0"/>
        </w:rPr>
        <w:t xml:space="preserve"> 2</w:t>
      </w:r>
    </w:p>
    <w:p w:rsidR="000012EE" w:rsidRDefault="000012EE" w:rsidP="00CD35C2">
      <w:pPr>
        <w:pStyle w:val="ConsPlusTitle"/>
        <w:jc w:val="right"/>
        <w:rPr>
          <w:b w:val="0"/>
        </w:rPr>
      </w:pPr>
    </w:p>
    <w:p w:rsidR="00E84405" w:rsidRPr="00361E1C" w:rsidRDefault="00E84405" w:rsidP="00E84405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361E1C">
        <w:rPr>
          <w:rFonts w:eastAsiaTheme="minorHAnsi"/>
          <w:bCs/>
          <w:sz w:val="28"/>
          <w:szCs w:val="28"/>
          <w:lang w:eastAsia="en-US"/>
        </w:rPr>
        <w:t>РАЗМЕР</w:t>
      </w:r>
    </w:p>
    <w:p w:rsidR="00E84405" w:rsidRPr="00361E1C" w:rsidRDefault="00E84405" w:rsidP="00E84405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361E1C">
        <w:rPr>
          <w:rFonts w:eastAsiaTheme="minorHAnsi"/>
          <w:bCs/>
          <w:sz w:val="28"/>
          <w:szCs w:val="28"/>
          <w:lang w:eastAsia="en-US"/>
        </w:rPr>
        <w:t>вреда, причиняемого тяжеловесными транспортными средствами,</w:t>
      </w:r>
    </w:p>
    <w:p w:rsidR="00E84405" w:rsidRPr="00361E1C" w:rsidRDefault="00E84405" w:rsidP="00E84405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361E1C">
        <w:rPr>
          <w:rFonts w:eastAsiaTheme="minorHAnsi"/>
          <w:bCs/>
          <w:sz w:val="28"/>
          <w:szCs w:val="28"/>
          <w:lang w:eastAsia="en-US"/>
        </w:rPr>
        <w:t>при движении таких транспортных средств по автомобильным</w:t>
      </w:r>
    </w:p>
    <w:p w:rsidR="00946DD3" w:rsidRDefault="00E84405" w:rsidP="00E84405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361E1C">
        <w:rPr>
          <w:rFonts w:eastAsiaTheme="minorHAnsi"/>
          <w:bCs/>
          <w:sz w:val="28"/>
          <w:szCs w:val="28"/>
          <w:lang w:eastAsia="en-US"/>
        </w:rPr>
        <w:t xml:space="preserve">дорогам </w:t>
      </w:r>
      <w:r w:rsidRPr="00361E1C">
        <w:rPr>
          <w:rFonts w:eastAsiaTheme="minorHAnsi"/>
          <w:sz w:val="28"/>
          <w:szCs w:val="24"/>
          <w:lang w:eastAsia="en-US"/>
        </w:rPr>
        <w:t xml:space="preserve">общего пользования местного значения </w:t>
      </w:r>
    </w:p>
    <w:p w:rsidR="00E84405" w:rsidRPr="00361E1C" w:rsidRDefault="00E84405" w:rsidP="00E84405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361E1C">
        <w:rPr>
          <w:rFonts w:eastAsiaTheme="minorHAnsi"/>
          <w:sz w:val="28"/>
          <w:szCs w:val="24"/>
          <w:lang w:eastAsia="en-US"/>
        </w:rPr>
        <w:t>ЗАТО Железногорск</w:t>
      </w:r>
      <w:r w:rsidRPr="00361E1C">
        <w:rPr>
          <w:rFonts w:eastAsiaTheme="minorHAnsi"/>
          <w:bCs/>
          <w:sz w:val="28"/>
          <w:szCs w:val="28"/>
          <w:lang w:eastAsia="en-US"/>
        </w:rPr>
        <w:t>, от превышения допустимой</w:t>
      </w:r>
    </w:p>
    <w:p w:rsidR="00E84405" w:rsidRPr="00361E1C" w:rsidRDefault="00E84405" w:rsidP="00E84405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361E1C">
        <w:rPr>
          <w:rFonts w:eastAsiaTheme="minorHAnsi"/>
          <w:bCs/>
          <w:sz w:val="28"/>
          <w:szCs w:val="28"/>
          <w:lang w:eastAsia="en-US"/>
        </w:rPr>
        <w:t>для автомобильной дороги массы транспортного средства</w:t>
      </w:r>
    </w:p>
    <w:p w:rsidR="00E84405" w:rsidRPr="00E84405" w:rsidRDefault="00E84405" w:rsidP="00E84405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8232" w:type="dxa"/>
        <w:jc w:val="center"/>
        <w:tblInd w:w="-2242" w:type="dxa"/>
        <w:tblLook w:val="04A0"/>
      </w:tblPr>
      <w:tblGrid>
        <w:gridCol w:w="3247"/>
        <w:gridCol w:w="4985"/>
      </w:tblGrid>
      <w:tr w:rsidR="00E84405" w:rsidRPr="00E84405" w:rsidTr="003A6D78">
        <w:trPr>
          <w:trHeight w:val="1548"/>
          <w:jc w:val="center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Размер вреда, рубли на 100 км</w:t>
            </w:r>
          </w:p>
        </w:tc>
      </w:tr>
      <w:tr w:rsidR="00E84405" w:rsidRPr="00E84405" w:rsidTr="003A6D78">
        <w:trPr>
          <w:trHeight w:val="276"/>
          <w:jc w:val="center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свыше 2 до 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3098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 (включительно) до 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3148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 (включительно) до 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3198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 (включительно) до 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3248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6 (включительно) до 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3299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7 (включительно) до 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3349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8 (включительно) до 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3399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9 (включительно) до 10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3449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10 (включительно) до 11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3499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11 (включительно) до 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3550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12 (включительно) до 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3600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13 (включительно) до 14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3650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14 (включительно) до 15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3700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15 (включительно) до 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3750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16 (включительно) до 17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3801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17 (включительно) до 18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3851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18 (включительно) до 19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3901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19 (включительно) до 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3951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20 (включительно) до 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4002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21 (включительно) до 22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4052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22 (включительно) до 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4102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23 (включительно) до 24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4152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24 (включительно) до 25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4202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25 (включительно) до 26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4253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26 (включительно) до 27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4303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27 (включительно) до 28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4353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28 (включительно) до 29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4403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29 (включительно) до 30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4453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30 (включительно) до 31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4504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31 (включительно) до 32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4554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32 (включительно) до 33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4604</w:t>
            </w:r>
          </w:p>
        </w:tc>
      </w:tr>
      <w:tr w:rsidR="00E84405" w:rsidRPr="00E84405" w:rsidTr="00B71853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33 (включительно) до 34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4654</w:t>
            </w:r>
          </w:p>
        </w:tc>
      </w:tr>
      <w:tr w:rsidR="00E84405" w:rsidRPr="00E84405" w:rsidTr="00B71853">
        <w:trPr>
          <w:trHeight w:val="312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lastRenderedPageBreak/>
              <w:t>от 34 (включительно) до 35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4705</w:t>
            </w:r>
          </w:p>
        </w:tc>
      </w:tr>
      <w:tr w:rsidR="00E84405" w:rsidRPr="00E84405" w:rsidTr="00B71853">
        <w:trPr>
          <w:trHeight w:val="312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35 (включительно) до 36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4755</w:t>
            </w:r>
          </w:p>
        </w:tc>
      </w:tr>
      <w:tr w:rsidR="00E84405" w:rsidRPr="00E84405" w:rsidTr="00B71853">
        <w:trPr>
          <w:trHeight w:val="312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36 (включительно) до 37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4805</w:t>
            </w:r>
          </w:p>
        </w:tc>
      </w:tr>
      <w:tr w:rsidR="00E84405" w:rsidRPr="00E84405" w:rsidTr="00B71853">
        <w:trPr>
          <w:trHeight w:val="312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37 (включительно) до 38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4855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38 (включительно) до 39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4905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39 (включительно) до 40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4956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40 (включительно) до 41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5006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41 (включительно) до 42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5056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42 (включительно) до 43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5106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43 (включительно) до 44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5156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44 (включительно) до 45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5207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45 (включительно) до 46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5257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46 (включительно) до 47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5307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47 (включительно) до 48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5357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48 (включительно) до 49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5407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49 (включительно) до 50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5458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50 (включительно) до 51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5508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51 (включительно) до 52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5558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52 (включительно) до 53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5608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53 (включительно) до 54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5659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54 (включительно) до 55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5709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55 (включительно) до 56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5759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56 (включительно) до 57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5809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57 (включительно) до 58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5859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58 (включительно) до 59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5910</w:t>
            </w:r>
          </w:p>
        </w:tc>
      </w:tr>
      <w:tr w:rsidR="00E84405" w:rsidRPr="00E84405" w:rsidTr="003A6D78">
        <w:trPr>
          <w:trHeight w:val="312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59 (включительно) до 60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5960</w:t>
            </w:r>
          </w:p>
        </w:tc>
      </w:tr>
      <w:tr w:rsidR="00E84405" w:rsidRPr="00E84405" w:rsidTr="003A6D78">
        <w:trPr>
          <w:trHeight w:val="2638"/>
          <w:jc w:val="center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844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05" w:rsidRPr="00E84405" w:rsidRDefault="00E84405" w:rsidP="00E77A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405">
              <w:rPr>
                <w:color w:val="000000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</w:t>
            </w:r>
          </w:p>
        </w:tc>
      </w:tr>
    </w:tbl>
    <w:p w:rsidR="00BE3A80" w:rsidRDefault="00BE3A80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3A6D78" w:rsidRDefault="003A6D78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8735FF" w:rsidRDefault="008735FF" w:rsidP="008735FF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Таблица 3</w:t>
      </w:r>
    </w:p>
    <w:p w:rsidR="008735FF" w:rsidRDefault="008735FF" w:rsidP="008735F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946DD3" w:rsidRDefault="00697D78" w:rsidP="00697D78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697D78">
        <w:rPr>
          <w:rFonts w:eastAsiaTheme="minorHAnsi"/>
          <w:sz w:val="28"/>
          <w:szCs w:val="28"/>
          <w:lang w:eastAsia="en-US"/>
        </w:rPr>
        <w:t xml:space="preserve">Размер вреда при осуществлении перевозок тяжеловесных грузов по автомобильным дорогам общего пользования местного значения </w:t>
      </w:r>
    </w:p>
    <w:p w:rsidR="00697D78" w:rsidRDefault="00697D78" w:rsidP="00697D7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97D78">
        <w:rPr>
          <w:rFonts w:eastAsiaTheme="minorHAnsi"/>
          <w:sz w:val="28"/>
          <w:szCs w:val="28"/>
          <w:lang w:eastAsia="en-US"/>
        </w:rPr>
        <w:t xml:space="preserve">ЗАТО Железногорск </w:t>
      </w:r>
      <w:r>
        <w:rPr>
          <w:rFonts w:eastAsiaTheme="minorHAnsi"/>
          <w:sz w:val="28"/>
          <w:szCs w:val="28"/>
          <w:lang w:eastAsia="en-US"/>
        </w:rPr>
        <w:t>отдельными категориями транспортных средств</w:t>
      </w:r>
    </w:p>
    <w:p w:rsidR="00697D78" w:rsidRDefault="00697D78" w:rsidP="008735FF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963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21"/>
        <w:gridCol w:w="2718"/>
      </w:tblGrid>
      <w:tr w:rsidR="00697D78" w:rsidRPr="00697D78" w:rsidTr="00946DD3">
        <w:trPr>
          <w:trHeight w:val="756"/>
          <w:tblCellSpacing w:w="5" w:type="nil"/>
          <w:jc w:val="center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D3" w:rsidRDefault="00697D78" w:rsidP="009C16BE">
            <w:pPr>
              <w:pStyle w:val="ConsPlusCell"/>
              <w:jc w:val="center"/>
              <w:outlineLvl w:val="0"/>
              <w:rPr>
                <w:sz w:val="24"/>
                <w:szCs w:val="24"/>
              </w:rPr>
            </w:pPr>
            <w:r w:rsidRPr="00946DD3">
              <w:rPr>
                <w:sz w:val="24"/>
                <w:szCs w:val="24"/>
              </w:rPr>
              <w:t xml:space="preserve">Категория транспортных средств и условия применения </w:t>
            </w:r>
          </w:p>
          <w:p w:rsidR="00697D78" w:rsidRPr="00946DD3" w:rsidRDefault="00697D78" w:rsidP="009C16BE">
            <w:pPr>
              <w:pStyle w:val="ConsPlusCell"/>
              <w:jc w:val="center"/>
              <w:outlineLvl w:val="0"/>
              <w:rPr>
                <w:sz w:val="24"/>
                <w:szCs w:val="24"/>
              </w:rPr>
            </w:pPr>
            <w:r w:rsidRPr="00946DD3">
              <w:rPr>
                <w:sz w:val="24"/>
                <w:szCs w:val="24"/>
              </w:rPr>
              <w:t>размера вреда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8" w:rsidRPr="00946DD3" w:rsidRDefault="00697D78" w:rsidP="009C16BE">
            <w:pPr>
              <w:pStyle w:val="ConsPlusCell"/>
              <w:jc w:val="center"/>
              <w:rPr>
                <w:sz w:val="24"/>
                <w:szCs w:val="24"/>
              </w:rPr>
            </w:pPr>
            <w:r w:rsidRPr="00946DD3">
              <w:rPr>
                <w:sz w:val="24"/>
                <w:szCs w:val="24"/>
              </w:rPr>
              <w:t xml:space="preserve">Размер вреда </w:t>
            </w:r>
            <w:r w:rsidRPr="00946DD3">
              <w:rPr>
                <w:sz w:val="24"/>
                <w:szCs w:val="24"/>
              </w:rPr>
              <w:br/>
              <w:t xml:space="preserve">   (рублей)</w:t>
            </w:r>
          </w:p>
        </w:tc>
      </w:tr>
      <w:tr w:rsidR="00697D78" w:rsidRPr="00697D78" w:rsidTr="00946DD3">
        <w:trPr>
          <w:trHeight w:val="900"/>
          <w:tblCellSpacing w:w="5" w:type="nil"/>
          <w:jc w:val="center"/>
        </w:trPr>
        <w:tc>
          <w:tcPr>
            <w:tcW w:w="6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8" w:rsidRPr="00946DD3" w:rsidRDefault="00697D78" w:rsidP="00946DD3">
            <w:pPr>
              <w:pStyle w:val="ConsPlusCell"/>
              <w:ind w:firstLine="492"/>
              <w:jc w:val="both"/>
              <w:rPr>
                <w:sz w:val="24"/>
                <w:szCs w:val="24"/>
              </w:rPr>
            </w:pPr>
            <w:r w:rsidRPr="00946DD3">
              <w:rPr>
                <w:sz w:val="24"/>
                <w:szCs w:val="24"/>
              </w:rPr>
              <w:t xml:space="preserve">Транспортные средства, используемые для перевозки тяжеловесных грузов в целях строительства (реконструкции, капитального ремонта) объектов, финансирование которых осуществляется за счет средств федерального, краевого или местного бюджетов </w:t>
            </w:r>
            <w:r w:rsidR="00946DD3" w:rsidRPr="00946DD3">
              <w:rPr>
                <w:sz w:val="24"/>
                <w:szCs w:val="24"/>
              </w:rPr>
              <w:t xml:space="preserve">на основании письменного обращения органа исполнительной власти Красноярского края, отраслевого (функционального) органа, структурного подразделения </w:t>
            </w:r>
            <w:proofErr w:type="gramStart"/>
            <w:r w:rsidR="00946DD3" w:rsidRPr="00946DD3">
              <w:rPr>
                <w:sz w:val="24"/>
                <w:szCs w:val="24"/>
              </w:rPr>
              <w:t>Администрации</w:t>
            </w:r>
            <w:proofErr w:type="gramEnd"/>
            <w:r w:rsidR="00946DD3" w:rsidRPr="00946DD3">
              <w:rPr>
                <w:sz w:val="24"/>
                <w:szCs w:val="24"/>
              </w:rPr>
              <w:t xml:space="preserve"> ЗАТО г. Железногорск, курирующего данное направление деятельности, с обоснованием необходимости безотлагательного проезда таких транспортных средств по автомобильным дорогам общего пользования местного </w:t>
            </w:r>
            <w:proofErr w:type="gramStart"/>
            <w:r w:rsidR="00946DD3" w:rsidRPr="00946DD3">
              <w:rPr>
                <w:sz w:val="24"/>
                <w:szCs w:val="24"/>
              </w:rPr>
              <w:t>значения</w:t>
            </w:r>
            <w:proofErr w:type="gramEnd"/>
            <w:r w:rsidR="00946DD3" w:rsidRPr="00946DD3">
              <w:rPr>
                <w:sz w:val="24"/>
                <w:szCs w:val="24"/>
              </w:rPr>
              <w:t xml:space="preserve"> ЗАТО Железногорск, в Администрацию ЗАТО г. Железногорск.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78" w:rsidRPr="00946DD3" w:rsidRDefault="00697D78" w:rsidP="00BC77AF">
            <w:pPr>
              <w:pStyle w:val="ConsPlusCell"/>
              <w:jc w:val="center"/>
              <w:rPr>
                <w:sz w:val="24"/>
                <w:szCs w:val="24"/>
              </w:rPr>
            </w:pPr>
            <w:r w:rsidRPr="00946DD3">
              <w:rPr>
                <w:sz w:val="24"/>
                <w:szCs w:val="24"/>
              </w:rPr>
              <w:t>0</w:t>
            </w:r>
            <w:r w:rsidR="00946DD3">
              <w:rPr>
                <w:sz w:val="24"/>
                <w:szCs w:val="24"/>
              </w:rPr>
              <w:t>,00</w:t>
            </w:r>
          </w:p>
        </w:tc>
      </w:tr>
    </w:tbl>
    <w:p w:rsidR="003A6D78" w:rsidRPr="007A53FD" w:rsidRDefault="003A6D78" w:rsidP="00697D7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35FF" w:rsidRDefault="00021ABC" w:rsidP="00361E1C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21ABC" w:rsidRDefault="00021ABC" w:rsidP="00021ABC">
      <w:pPr>
        <w:jc w:val="center"/>
        <w:rPr>
          <w:rFonts w:eastAsiaTheme="minorHAnsi"/>
          <w:sz w:val="28"/>
          <w:szCs w:val="24"/>
          <w:lang w:eastAsia="en-US"/>
        </w:rPr>
      </w:pPr>
      <w:r w:rsidRPr="00021ABC">
        <w:rPr>
          <w:rFonts w:eastAsiaTheme="minorHAnsi"/>
          <w:sz w:val="28"/>
          <w:szCs w:val="24"/>
          <w:lang w:eastAsia="en-US"/>
        </w:rPr>
        <w:t xml:space="preserve">Исходные значения размера вреда, причиняемого транспортными средствами при превышении допустимых осевых нагрузок для автомобильной дороги, и постоянные коэффициенты для муниципальных автомобильных дорог общего пользования местного значения </w:t>
      </w:r>
      <w:r>
        <w:rPr>
          <w:rFonts w:eastAsiaTheme="minorHAnsi"/>
          <w:sz w:val="28"/>
          <w:szCs w:val="24"/>
          <w:lang w:eastAsia="en-US"/>
        </w:rPr>
        <w:t xml:space="preserve">ЗАТО Железногорск </w:t>
      </w:r>
    </w:p>
    <w:p w:rsidR="00021ABC" w:rsidRDefault="00021ABC" w:rsidP="00021ABC">
      <w:pPr>
        <w:jc w:val="center"/>
        <w:rPr>
          <w:rFonts w:eastAsiaTheme="minorHAnsi"/>
          <w:sz w:val="28"/>
          <w:szCs w:val="24"/>
          <w:lang w:eastAsia="en-US"/>
        </w:rPr>
      </w:pPr>
    </w:p>
    <w:tbl>
      <w:tblPr>
        <w:tblStyle w:val="a3"/>
        <w:tblW w:w="6972" w:type="dxa"/>
        <w:jc w:val="center"/>
        <w:tblLayout w:type="fixed"/>
        <w:tblLook w:val="04A0"/>
      </w:tblPr>
      <w:tblGrid>
        <w:gridCol w:w="2387"/>
        <w:gridCol w:w="1885"/>
        <w:gridCol w:w="1349"/>
        <w:gridCol w:w="1351"/>
      </w:tblGrid>
      <w:tr w:rsidR="004900B1" w:rsidTr="004900B1">
        <w:trPr>
          <w:trHeight w:val="860"/>
          <w:jc w:val="center"/>
        </w:trPr>
        <w:tc>
          <w:tcPr>
            <w:tcW w:w="2387" w:type="dxa"/>
            <w:vMerge w:val="restart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Нормативная (расчетная) осевая нагрузка, тонн/ось</w:t>
            </w:r>
          </w:p>
        </w:tc>
        <w:tc>
          <w:tcPr>
            <w:tcW w:w="1885" w:type="dxa"/>
            <w:vMerge w:val="restart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46DD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946DD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исх</w:t>
            </w:r>
            <w:proofErr w:type="spellEnd"/>
            <w:r w:rsidRPr="00946DD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.</w:t>
            </w: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руб/1 км</w:t>
            </w:r>
          </w:p>
        </w:tc>
        <w:tc>
          <w:tcPr>
            <w:tcW w:w="2700" w:type="dxa"/>
            <w:gridSpan w:val="2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Постоянные коэффициенты</w:t>
            </w:r>
          </w:p>
        </w:tc>
      </w:tr>
      <w:tr w:rsidR="004900B1" w:rsidTr="004900B1">
        <w:trPr>
          <w:jc w:val="center"/>
        </w:trPr>
        <w:tc>
          <w:tcPr>
            <w:tcW w:w="2387" w:type="dxa"/>
            <w:vMerge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vMerge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350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val="en-US" w:eastAsia="en-US"/>
              </w:rPr>
              <w:t>b</w:t>
            </w:r>
          </w:p>
        </w:tc>
      </w:tr>
      <w:tr w:rsidR="004900B1" w:rsidTr="004900B1">
        <w:trPr>
          <w:jc w:val="center"/>
        </w:trPr>
        <w:tc>
          <w:tcPr>
            <w:tcW w:w="2387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5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349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350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0,27</w:t>
            </w:r>
          </w:p>
        </w:tc>
      </w:tr>
      <w:tr w:rsidR="004900B1" w:rsidTr="004900B1">
        <w:trPr>
          <w:jc w:val="center"/>
        </w:trPr>
        <w:tc>
          <w:tcPr>
            <w:tcW w:w="2387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5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349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37,7</w:t>
            </w:r>
          </w:p>
        </w:tc>
        <w:tc>
          <w:tcPr>
            <w:tcW w:w="1350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2,4</w:t>
            </w:r>
          </w:p>
        </w:tc>
      </w:tr>
      <w:tr w:rsidR="004900B1" w:rsidTr="004900B1">
        <w:trPr>
          <w:jc w:val="center"/>
        </w:trPr>
        <w:tc>
          <w:tcPr>
            <w:tcW w:w="2387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885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349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350" w:type="dxa"/>
            <w:vAlign w:val="center"/>
          </w:tcPr>
          <w:p w:rsidR="004900B1" w:rsidRPr="00946DD3" w:rsidRDefault="004900B1" w:rsidP="00021A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DD3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</w:tbl>
    <w:p w:rsidR="00021ABC" w:rsidRPr="00021ABC" w:rsidRDefault="00021ABC" w:rsidP="00021ABC">
      <w:pPr>
        <w:jc w:val="center"/>
        <w:rPr>
          <w:rFonts w:eastAsiaTheme="minorHAnsi"/>
          <w:sz w:val="28"/>
          <w:szCs w:val="24"/>
          <w:lang w:eastAsia="en-US"/>
        </w:rPr>
      </w:pPr>
    </w:p>
    <w:p w:rsidR="00021ABC" w:rsidRDefault="00021ABC" w:rsidP="00021ABC">
      <w:pPr>
        <w:jc w:val="center"/>
        <w:rPr>
          <w:rFonts w:eastAsiaTheme="minorHAnsi"/>
          <w:sz w:val="28"/>
          <w:szCs w:val="24"/>
          <w:lang w:eastAsia="en-US"/>
        </w:rPr>
      </w:pPr>
    </w:p>
    <w:p w:rsidR="00946DD3" w:rsidRDefault="00946DD3" w:rsidP="00946DD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Примечания.</w:t>
      </w:r>
    </w:p>
    <w:p w:rsidR="00946DD3" w:rsidRPr="007A53FD" w:rsidRDefault="00946DD3" w:rsidP="00946DD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3FD">
        <w:rPr>
          <w:rFonts w:eastAsiaTheme="minorHAnsi"/>
          <w:sz w:val="28"/>
          <w:szCs w:val="28"/>
          <w:lang w:eastAsia="en-US"/>
        </w:rPr>
        <w:t xml:space="preserve">1. Предельные значения полной массы и осевых масс автотранспортных средств определяются в соответствии с Правилами перевозок грузов автомобильным транспортом, утвержденными Постановлением Правительства Российской Федерации от 15.04.2011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7A53FD">
        <w:rPr>
          <w:rFonts w:eastAsiaTheme="minorHAnsi"/>
          <w:sz w:val="28"/>
          <w:szCs w:val="28"/>
          <w:lang w:eastAsia="en-US"/>
        </w:rPr>
        <w:t xml:space="preserve"> 272 </w:t>
      </w:r>
      <w:r>
        <w:rPr>
          <w:rFonts w:eastAsiaTheme="minorHAnsi"/>
          <w:sz w:val="28"/>
          <w:szCs w:val="28"/>
          <w:lang w:eastAsia="en-US"/>
        </w:rPr>
        <w:t>«</w:t>
      </w:r>
      <w:r w:rsidRPr="007A53FD">
        <w:rPr>
          <w:rFonts w:eastAsiaTheme="minorHAnsi"/>
          <w:sz w:val="28"/>
          <w:szCs w:val="28"/>
          <w:lang w:eastAsia="en-US"/>
        </w:rPr>
        <w:t>Об утверждении правил перевозок грузов автомобильным транспортом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46DD3" w:rsidRDefault="00946DD3" w:rsidP="00946DD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53FD">
        <w:rPr>
          <w:rFonts w:eastAsiaTheme="minorHAnsi"/>
          <w:sz w:val="28"/>
          <w:szCs w:val="28"/>
          <w:lang w:eastAsia="en-US"/>
        </w:rPr>
        <w:t xml:space="preserve">2. Движение по автомобильным дорогам </w:t>
      </w:r>
      <w:r w:rsidRPr="007A53FD">
        <w:rPr>
          <w:sz w:val="28"/>
          <w:szCs w:val="28"/>
        </w:rPr>
        <w:t xml:space="preserve">общего пользования местного значения ЗАТО Железногорск </w:t>
      </w:r>
      <w:r w:rsidRPr="007A53FD">
        <w:rPr>
          <w:rFonts w:eastAsiaTheme="minorHAnsi"/>
          <w:sz w:val="28"/>
          <w:szCs w:val="28"/>
          <w:lang w:eastAsia="en-US"/>
        </w:rPr>
        <w:t>транспортного средства, указанного в таблице 3, допускается при наличии специального разрешения.</w:t>
      </w:r>
    </w:p>
    <w:p w:rsidR="00021ABC" w:rsidRPr="00021ABC" w:rsidRDefault="00021ABC" w:rsidP="00021ABC">
      <w:pPr>
        <w:jc w:val="center"/>
        <w:rPr>
          <w:rFonts w:eastAsiaTheme="minorHAnsi"/>
          <w:sz w:val="28"/>
          <w:szCs w:val="24"/>
          <w:lang w:eastAsia="en-US"/>
        </w:rPr>
      </w:pPr>
    </w:p>
    <w:sectPr w:rsidR="00021ABC" w:rsidRPr="00021ABC" w:rsidSect="002542F0">
      <w:pgSz w:w="11909" w:h="16834"/>
      <w:pgMar w:top="851" w:right="851" w:bottom="851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209"/>
    <w:multiLevelType w:val="multilevel"/>
    <w:tmpl w:val="DE701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54B4384"/>
    <w:multiLevelType w:val="multilevel"/>
    <w:tmpl w:val="A282EC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24BD2D21"/>
    <w:multiLevelType w:val="multilevel"/>
    <w:tmpl w:val="A0F6968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29C2FC3"/>
    <w:multiLevelType w:val="multilevel"/>
    <w:tmpl w:val="EAFA3E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C2"/>
    <w:rsid w:val="00000506"/>
    <w:rsid w:val="000012EE"/>
    <w:rsid w:val="00007A56"/>
    <w:rsid w:val="00021ABC"/>
    <w:rsid w:val="000320B3"/>
    <w:rsid w:val="00051D2F"/>
    <w:rsid w:val="00054626"/>
    <w:rsid w:val="00062A69"/>
    <w:rsid w:val="00082352"/>
    <w:rsid w:val="00091970"/>
    <w:rsid w:val="000A323C"/>
    <w:rsid w:val="000C58B4"/>
    <w:rsid w:val="000E74A9"/>
    <w:rsid w:val="000F6FD1"/>
    <w:rsid w:val="0011201F"/>
    <w:rsid w:val="00113162"/>
    <w:rsid w:val="0011696D"/>
    <w:rsid w:val="0012585F"/>
    <w:rsid w:val="0012798B"/>
    <w:rsid w:val="00140C6A"/>
    <w:rsid w:val="00167E01"/>
    <w:rsid w:val="00170AE7"/>
    <w:rsid w:val="0017726A"/>
    <w:rsid w:val="00187C59"/>
    <w:rsid w:val="00187C82"/>
    <w:rsid w:val="0019091A"/>
    <w:rsid w:val="00190B73"/>
    <w:rsid w:val="00192C48"/>
    <w:rsid w:val="00196975"/>
    <w:rsid w:val="0020699C"/>
    <w:rsid w:val="0022171D"/>
    <w:rsid w:val="0022751D"/>
    <w:rsid w:val="0024224D"/>
    <w:rsid w:val="002460A5"/>
    <w:rsid w:val="002542F0"/>
    <w:rsid w:val="002558C9"/>
    <w:rsid w:val="0028019A"/>
    <w:rsid w:val="00290D96"/>
    <w:rsid w:val="00291B1E"/>
    <w:rsid w:val="00294ED8"/>
    <w:rsid w:val="002B462D"/>
    <w:rsid w:val="002B7582"/>
    <w:rsid w:val="002E0A2B"/>
    <w:rsid w:val="002E0D4E"/>
    <w:rsid w:val="002E4856"/>
    <w:rsid w:val="002E57EC"/>
    <w:rsid w:val="002F0C9D"/>
    <w:rsid w:val="002F627E"/>
    <w:rsid w:val="002F7D1D"/>
    <w:rsid w:val="003109DB"/>
    <w:rsid w:val="00311572"/>
    <w:rsid w:val="00320E55"/>
    <w:rsid w:val="00324252"/>
    <w:rsid w:val="003413E8"/>
    <w:rsid w:val="00344B38"/>
    <w:rsid w:val="00347492"/>
    <w:rsid w:val="00357E8D"/>
    <w:rsid w:val="003600A3"/>
    <w:rsid w:val="00361E1C"/>
    <w:rsid w:val="00362B26"/>
    <w:rsid w:val="003642A3"/>
    <w:rsid w:val="00365A0A"/>
    <w:rsid w:val="0037071F"/>
    <w:rsid w:val="003718A0"/>
    <w:rsid w:val="0038438A"/>
    <w:rsid w:val="00385223"/>
    <w:rsid w:val="00386DCE"/>
    <w:rsid w:val="003A4334"/>
    <w:rsid w:val="003A6D78"/>
    <w:rsid w:val="003B57F0"/>
    <w:rsid w:val="003D4B11"/>
    <w:rsid w:val="003E6A35"/>
    <w:rsid w:val="003F2097"/>
    <w:rsid w:val="003F4152"/>
    <w:rsid w:val="00435DAD"/>
    <w:rsid w:val="00452020"/>
    <w:rsid w:val="004664B7"/>
    <w:rsid w:val="00473496"/>
    <w:rsid w:val="004900B1"/>
    <w:rsid w:val="004F600D"/>
    <w:rsid w:val="00515EF2"/>
    <w:rsid w:val="00540640"/>
    <w:rsid w:val="0057730A"/>
    <w:rsid w:val="00581558"/>
    <w:rsid w:val="00583871"/>
    <w:rsid w:val="00590310"/>
    <w:rsid w:val="005A29AD"/>
    <w:rsid w:val="005A619A"/>
    <w:rsid w:val="005B3E17"/>
    <w:rsid w:val="005B4EAF"/>
    <w:rsid w:val="005D549B"/>
    <w:rsid w:val="00603A4B"/>
    <w:rsid w:val="00604A77"/>
    <w:rsid w:val="006073A1"/>
    <w:rsid w:val="00613039"/>
    <w:rsid w:val="00641C67"/>
    <w:rsid w:val="006564B3"/>
    <w:rsid w:val="00657657"/>
    <w:rsid w:val="00664431"/>
    <w:rsid w:val="006661FF"/>
    <w:rsid w:val="00670598"/>
    <w:rsid w:val="00673843"/>
    <w:rsid w:val="00697D78"/>
    <w:rsid w:val="006B6927"/>
    <w:rsid w:val="006C0ECA"/>
    <w:rsid w:val="006C698B"/>
    <w:rsid w:val="006C74E3"/>
    <w:rsid w:val="006E1519"/>
    <w:rsid w:val="006E52E1"/>
    <w:rsid w:val="006F11F5"/>
    <w:rsid w:val="00704FF1"/>
    <w:rsid w:val="007102BC"/>
    <w:rsid w:val="00710FF9"/>
    <w:rsid w:val="00721F68"/>
    <w:rsid w:val="00746806"/>
    <w:rsid w:val="00756798"/>
    <w:rsid w:val="007660B5"/>
    <w:rsid w:val="007747C2"/>
    <w:rsid w:val="007A53FD"/>
    <w:rsid w:val="007B4ACE"/>
    <w:rsid w:val="007D030A"/>
    <w:rsid w:val="007D1B38"/>
    <w:rsid w:val="007D3728"/>
    <w:rsid w:val="007F31AA"/>
    <w:rsid w:val="007F7B64"/>
    <w:rsid w:val="00801E72"/>
    <w:rsid w:val="008074CB"/>
    <w:rsid w:val="0081129F"/>
    <w:rsid w:val="00816E1A"/>
    <w:rsid w:val="00820708"/>
    <w:rsid w:val="00820B4F"/>
    <w:rsid w:val="008346DE"/>
    <w:rsid w:val="00845547"/>
    <w:rsid w:val="00851953"/>
    <w:rsid w:val="008722D0"/>
    <w:rsid w:val="008735FF"/>
    <w:rsid w:val="008755F2"/>
    <w:rsid w:val="008774F5"/>
    <w:rsid w:val="008953CA"/>
    <w:rsid w:val="008A6259"/>
    <w:rsid w:val="008E547C"/>
    <w:rsid w:val="008F32BC"/>
    <w:rsid w:val="008F33DC"/>
    <w:rsid w:val="0091682A"/>
    <w:rsid w:val="00933BF5"/>
    <w:rsid w:val="009376F9"/>
    <w:rsid w:val="00946DD3"/>
    <w:rsid w:val="009678C0"/>
    <w:rsid w:val="009934EE"/>
    <w:rsid w:val="009B39F4"/>
    <w:rsid w:val="009B7C52"/>
    <w:rsid w:val="009C16BE"/>
    <w:rsid w:val="009D20C6"/>
    <w:rsid w:val="009E1930"/>
    <w:rsid w:val="009E315A"/>
    <w:rsid w:val="00A1177D"/>
    <w:rsid w:val="00A27429"/>
    <w:rsid w:val="00A3272B"/>
    <w:rsid w:val="00A33290"/>
    <w:rsid w:val="00A35EBE"/>
    <w:rsid w:val="00A53EF1"/>
    <w:rsid w:val="00A7190A"/>
    <w:rsid w:val="00A73DE0"/>
    <w:rsid w:val="00A82FC0"/>
    <w:rsid w:val="00AC382B"/>
    <w:rsid w:val="00AD2328"/>
    <w:rsid w:val="00AD243A"/>
    <w:rsid w:val="00AE2B45"/>
    <w:rsid w:val="00AE5A21"/>
    <w:rsid w:val="00AF52B4"/>
    <w:rsid w:val="00B04903"/>
    <w:rsid w:val="00B31091"/>
    <w:rsid w:val="00B37FD9"/>
    <w:rsid w:val="00B523FB"/>
    <w:rsid w:val="00B56B9B"/>
    <w:rsid w:val="00B60B94"/>
    <w:rsid w:val="00B63F40"/>
    <w:rsid w:val="00B71853"/>
    <w:rsid w:val="00B719EA"/>
    <w:rsid w:val="00B74B46"/>
    <w:rsid w:val="00B93A75"/>
    <w:rsid w:val="00B976C7"/>
    <w:rsid w:val="00BC0CEE"/>
    <w:rsid w:val="00BC6A68"/>
    <w:rsid w:val="00BC77AF"/>
    <w:rsid w:val="00BD3223"/>
    <w:rsid w:val="00BE3A80"/>
    <w:rsid w:val="00BE6D62"/>
    <w:rsid w:val="00BF229C"/>
    <w:rsid w:val="00C240B0"/>
    <w:rsid w:val="00C37F53"/>
    <w:rsid w:val="00C40D6F"/>
    <w:rsid w:val="00C51CB6"/>
    <w:rsid w:val="00C54542"/>
    <w:rsid w:val="00C708B8"/>
    <w:rsid w:val="00C87A2D"/>
    <w:rsid w:val="00CD35C2"/>
    <w:rsid w:val="00CD4A31"/>
    <w:rsid w:val="00CD793D"/>
    <w:rsid w:val="00CE4F61"/>
    <w:rsid w:val="00CF7382"/>
    <w:rsid w:val="00D15FF2"/>
    <w:rsid w:val="00D343A4"/>
    <w:rsid w:val="00D345AB"/>
    <w:rsid w:val="00D34F00"/>
    <w:rsid w:val="00D46746"/>
    <w:rsid w:val="00D50002"/>
    <w:rsid w:val="00D545AA"/>
    <w:rsid w:val="00D6790E"/>
    <w:rsid w:val="00DA3181"/>
    <w:rsid w:val="00DB59CB"/>
    <w:rsid w:val="00DC3377"/>
    <w:rsid w:val="00DD0426"/>
    <w:rsid w:val="00DF5FF6"/>
    <w:rsid w:val="00E05CC9"/>
    <w:rsid w:val="00E11479"/>
    <w:rsid w:val="00E12D58"/>
    <w:rsid w:val="00E13AEF"/>
    <w:rsid w:val="00E20ED9"/>
    <w:rsid w:val="00E2305D"/>
    <w:rsid w:val="00E34A76"/>
    <w:rsid w:val="00E37539"/>
    <w:rsid w:val="00E4449B"/>
    <w:rsid w:val="00E461CC"/>
    <w:rsid w:val="00E46B65"/>
    <w:rsid w:val="00E53FE5"/>
    <w:rsid w:val="00E7290D"/>
    <w:rsid w:val="00E77A79"/>
    <w:rsid w:val="00E84405"/>
    <w:rsid w:val="00EF1F64"/>
    <w:rsid w:val="00F01428"/>
    <w:rsid w:val="00F179B3"/>
    <w:rsid w:val="00F35B3F"/>
    <w:rsid w:val="00F64D84"/>
    <w:rsid w:val="00F66407"/>
    <w:rsid w:val="00F67E36"/>
    <w:rsid w:val="00F700A0"/>
    <w:rsid w:val="00F72060"/>
    <w:rsid w:val="00F87632"/>
    <w:rsid w:val="00F94E9D"/>
    <w:rsid w:val="00F95A0E"/>
    <w:rsid w:val="00FA5D6E"/>
    <w:rsid w:val="00FB6CDA"/>
    <w:rsid w:val="00F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CD35C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CD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35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35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D3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3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97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A5D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53EF1"/>
    <w:rPr>
      <w:color w:val="0000FF"/>
      <w:u w:val="single"/>
    </w:rPr>
  </w:style>
  <w:style w:type="character" w:customStyle="1" w:styleId="a7">
    <w:name w:val="Абзац списка Знак"/>
    <w:link w:val="a6"/>
    <w:uiPriority w:val="99"/>
    <w:locked/>
    <w:rsid w:val="00384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8438A"/>
    <w:pPr>
      <w:framePr w:w="4401" w:h="1873" w:hSpace="180" w:wrap="around" w:vAnchor="text" w:hAnchor="page" w:x="4321" w:y="103"/>
      <w:widowControl/>
      <w:autoSpaceDE/>
      <w:autoSpaceDN/>
      <w:adjustRightInd/>
      <w:jc w:val="center"/>
    </w:pPr>
    <w:rPr>
      <w:rFonts w:eastAsia="Malgun Gothic"/>
      <w:b/>
      <w:sz w:val="16"/>
    </w:rPr>
  </w:style>
  <w:style w:type="character" w:customStyle="1" w:styleId="30">
    <w:name w:val="Основной текст 3 Знак"/>
    <w:basedOn w:val="a0"/>
    <w:link w:val="3"/>
    <w:rsid w:val="0038438A"/>
    <w:rPr>
      <w:rFonts w:ascii="Times New Roman" w:eastAsia="Malgun Gothic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C032FC67FD107C8B07CF05C6C18725548BDBB422B5C4EF4B430D3C6FEB1426F139DAAC1EE6BE6A73B518DC372FBC8B5E343651D67FA10X7TF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Масалов Ю.С.</cp:lastModifiedBy>
  <cp:revision>2</cp:revision>
  <cp:lastPrinted>2020-03-12T02:44:00Z</cp:lastPrinted>
  <dcterms:created xsi:type="dcterms:W3CDTF">2020-03-24T02:17:00Z</dcterms:created>
  <dcterms:modified xsi:type="dcterms:W3CDTF">2020-03-24T02:17:00Z</dcterms:modified>
</cp:coreProperties>
</file>