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8DC" w:rsidRDefault="002D22FF" w:rsidP="00C061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90FF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233CF" w:rsidRPr="00AB1CDF" w:rsidRDefault="00D233CF" w:rsidP="00D233CF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1CDF">
        <w:rPr>
          <w:rFonts w:ascii="Times New Roman" w:hAnsi="Times New Roman" w:cs="Times New Roman"/>
          <w:sz w:val="28"/>
          <w:szCs w:val="28"/>
        </w:rPr>
        <w:t>Приложение № 4.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233CF" w:rsidRDefault="00D233CF" w:rsidP="00D2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1CDF">
        <w:rPr>
          <w:rFonts w:ascii="Times New Roman" w:hAnsi="Times New Roman" w:cs="Times New Roman"/>
          <w:sz w:val="28"/>
          <w:szCs w:val="28"/>
        </w:rPr>
        <w:t>к муниципальной программе «</w:t>
      </w:r>
      <w:r>
        <w:rPr>
          <w:rFonts w:ascii="Times New Roman" w:hAnsi="Times New Roman" w:cs="Times New Roman"/>
          <w:sz w:val="28"/>
          <w:szCs w:val="28"/>
        </w:rPr>
        <w:t>Охрана</w:t>
      </w:r>
    </w:p>
    <w:p w:rsidR="00D233CF" w:rsidRDefault="00D233CF" w:rsidP="00D2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окружающей среды, воспроизводство </w:t>
      </w:r>
    </w:p>
    <w:p w:rsidR="00D233CF" w:rsidRDefault="00D233CF" w:rsidP="00D2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природных ресурсов на территории </w:t>
      </w:r>
    </w:p>
    <w:p w:rsidR="005D58DC" w:rsidRDefault="00D233CF" w:rsidP="00D23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ЗАТО Железногорск»</w:t>
      </w:r>
      <w:r w:rsidRPr="00780FDE">
        <w:rPr>
          <w:sz w:val="24"/>
          <w:szCs w:val="24"/>
        </w:rPr>
        <w:t xml:space="preserve"> </w:t>
      </w:r>
    </w:p>
    <w:p w:rsidR="005D58DC" w:rsidRDefault="005D58DC" w:rsidP="00C061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8DC" w:rsidRPr="005D58DC" w:rsidRDefault="005D58DC" w:rsidP="005D58DC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DC">
        <w:rPr>
          <w:rFonts w:ascii="Times New Roman" w:hAnsi="Times New Roman" w:cs="Times New Roman"/>
          <w:b/>
          <w:sz w:val="28"/>
          <w:szCs w:val="28"/>
        </w:rPr>
        <w:t>1</w:t>
      </w:r>
      <w:r w:rsidR="00F90FFA">
        <w:rPr>
          <w:rFonts w:ascii="Times New Roman" w:hAnsi="Times New Roman" w:cs="Times New Roman"/>
          <w:sz w:val="28"/>
          <w:szCs w:val="28"/>
        </w:rPr>
        <w:t xml:space="preserve"> </w:t>
      </w:r>
      <w:r w:rsidRPr="005D58DC">
        <w:rPr>
          <w:rFonts w:ascii="Times New Roman" w:hAnsi="Times New Roman" w:cs="Times New Roman"/>
          <w:b/>
          <w:sz w:val="28"/>
          <w:szCs w:val="28"/>
        </w:rPr>
        <w:t>. Паспорт Подпрограммы № 2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B74731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D30EE6" w:rsidP="00064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6F0C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r w:rsidR="00064C92">
              <w:rPr>
                <w:rFonts w:ascii="Times New Roman" w:hAnsi="Times New Roman" w:cs="Times New Roman"/>
                <w:sz w:val="28"/>
                <w:szCs w:val="28"/>
              </w:rPr>
              <w:t xml:space="preserve">благоприятной окружающей среды, улучшение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социально-экономических условий проживания населения</w:t>
            </w:r>
            <w:r w:rsidR="00EE4E6F" w:rsidRPr="008A5D1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46F0C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(далее - подпрограмма)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AE37C0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AE37C0" w:rsidRPr="008C4AC4" w:rsidRDefault="00AE37C0" w:rsidP="00184866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 w:rsidR="003D3709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ЗАТО Железногорск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E37C0" w:rsidRPr="00C24C87" w:rsidTr="00BA4EE0">
        <w:trPr>
          <w:trHeight w:val="1006"/>
        </w:trPr>
        <w:tc>
          <w:tcPr>
            <w:tcW w:w="2977" w:type="dxa"/>
            <w:tcBorders>
              <w:bottom w:val="single" w:sz="4" w:space="0" w:color="auto"/>
            </w:tcBorders>
          </w:tcPr>
          <w:p w:rsidR="00A62112" w:rsidRDefault="00BA4EE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>сполнител</w:t>
            </w:r>
            <w:r w:rsidR="00A6211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:rsidR="00BA4EE0" w:rsidRDefault="00A62112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(исполнители)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7C0" w:rsidRPr="00BD63C7" w:rsidRDefault="00AE37C0" w:rsidP="00BA4EE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E37C0" w:rsidRPr="00BD63C7" w:rsidRDefault="00B74731" w:rsidP="00184866">
            <w:pPr>
              <w:pStyle w:val="ConsPlusCell"/>
            </w:pPr>
            <w:r>
              <w:t>Администрация ЗАТО г.Железногорск, Управление городского хозяйства Администрации ЗАТО г.</w:t>
            </w:r>
            <w:r w:rsidR="008A3CB5">
              <w:t xml:space="preserve"> </w:t>
            </w:r>
            <w:r>
              <w:t>Железногорск</w:t>
            </w:r>
            <w:r w:rsidRPr="00BD63C7">
              <w:t xml:space="preserve"> </w:t>
            </w:r>
            <w:r>
              <w:t>(далее –</w:t>
            </w:r>
            <w:r w:rsidR="008A3CB5">
              <w:t xml:space="preserve"> </w:t>
            </w:r>
            <w:r>
              <w:t>УГХ)</w:t>
            </w:r>
          </w:p>
        </w:tc>
      </w:tr>
      <w:tr w:rsidR="00AE37C0" w:rsidRPr="00C24C87" w:rsidTr="00BA4EE0">
        <w:trPr>
          <w:trHeight w:val="2679"/>
        </w:trPr>
        <w:tc>
          <w:tcPr>
            <w:tcW w:w="2977" w:type="dxa"/>
          </w:tcPr>
          <w:p w:rsidR="00AE37C0" w:rsidRPr="00BD63C7" w:rsidRDefault="00AE37C0" w:rsidP="00B747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3113CD" w:rsidRDefault="00AE37C0" w:rsidP="00646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5D58D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46F0C" w:rsidRPr="00F614A5" w:rsidRDefault="003113CD" w:rsidP="00646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62112">
              <w:rPr>
                <w:rFonts w:ascii="Times New Roman" w:hAnsi="Times New Roman"/>
                <w:sz w:val="28"/>
                <w:szCs w:val="28"/>
              </w:rPr>
              <w:t xml:space="preserve">беспечение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благоприятной окружающей среды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E4E6F">
              <w:rPr>
                <w:rFonts w:ascii="Times New Roman" w:hAnsi="Times New Roman" w:cs="Times New Roman"/>
                <w:sz w:val="28"/>
                <w:szCs w:val="28"/>
              </w:rPr>
              <w:t>улучшение социально-экономических условий проживания населения.</w:t>
            </w:r>
            <w:r w:rsidR="00EE4E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47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236CB" w:rsidRDefault="00E236CB" w:rsidP="00E236CB">
            <w:pPr>
              <w:pStyle w:val="ConsPlusNormal"/>
              <w:widowControl/>
              <w:ind w:left="-567" w:firstLine="5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14A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E37C0" w:rsidRPr="00BD63C7" w:rsidRDefault="003113CD" w:rsidP="003113CD">
            <w:pPr>
              <w:pStyle w:val="ConsPlusNonformat"/>
              <w:ind w:left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безопасных условий населения</w:t>
            </w:r>
          </w:p>
        </w:tc>
      </w:tr>
      <w:tr w:rsidR="00AE37C0" w:rsidRPr="00C24C87" w:rsidTr="00B74731">
        <w:trPr>
          <w:trHeight w:val="598"/>
        </w:trPr>
        <w:tc>
          <w:tcPr>
            <w:tcW w:w="2977" w:type="dxa"/>
          </w:tcPr>
          <w:p w:rsidR="00AE37C0" w:rsidRPr="008C4AC4" w:rsidRDefault="00751067" w:rsidP="00751067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  <w:r w:rsidR="00AE37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</w:tcPr>
          <w:p w:rsidR="00AE37C0" w:rsidRPr="000F349A" w:rsidRDefault="00A62112" w:rsidP="000F349A">
            <w:p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0F349A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B74731" w:rsidRPr="000F349A">
              <w:rPr>
                <w:rFonts w:ascii="Times New Roman" w:hAnsi="Times New Roman"/>
                <w:sz w:val="28"/>
                <w:szCs w:val="28"/>
              </w:rPr>
              <w:t xml:space="preserve">эколого-просветительских </w:t>
            </w:r>
            <w:r w:rsidR="00107288" w:rsidRPr="000F349A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</w:tr>
      <w:tr w:rsidR="00107288" w:rsidRPr="00C24C87" w:rsidTr="00B74731">
        <w:trPr>
          <w:trHeight w:val="598"/>
        </w:trPr>
        <w:tc>
          <w:tcPr>
            <w:tcW w:w="2977" w:type="dxa"/>
          </w:tcPr>
          <w:p w:rsidR="00107288" w:rsidRPr="005D58DC" w:rsidRDefault="005D58DC" w:rsidP="00107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58DC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946" w:type="dxa"/>
          </w:tcPr>
          <w:p w:rsidR="008A3CB5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8A3CB5" w:rsidRDefault="003D2DEE" w:rsidP="003D2D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2DEE">
              <w:rPr>
                <w:rFonts w:ascii="Times New Roman" w:hAnsi="Times New Roman" w:cs="Times New Roman"/>
                <w:sz w:val="28"/>
                <w:szCs w:val="28"/>
              </w:rPr>
              <w:t>5 576 127,00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4866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0F34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61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8A3C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A3CB5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- </w:t>
            </w:r>
            <w:r w:rsidR="003D2DEE" w:rsidRPr="003D2DEE">
              <w:rPr>
                <w:rFonts w:ascii="Times New Roman" w:hAnsi="Times New Roman" w:cs="Times New Roman"/>
                <w:sz w:val="28"/>
                <w:szCs w:val="28"/>
              </w:rPr>
              <w:t>5 576 127,00</w:t>
            </w:r>
            <w:r w:rsidR="003D2D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61D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C061DD" w:rsidRPr="003F18F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F18FE" w:rsidRPr="003F18FE" w:rsidRDefault="008A3CB5" w:rsidP="003F18F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0,00 руб.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3CB5" w:rsidRDefault="008A3CB5" w:rsidP="00107E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3F18FE" w:rsidRPr="003F18FE" w:rsidRDefault="008A3CB5" w:rsidP="00107E8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04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2D58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="00B4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2D58">
              <w:rPr>
                <w:rFonts w:ascii="Times New Roman" w:hAnsi="Times New Roman" w:cs="Times New Roman"/>
                <w:sz w:val="28"/>
                <w:szCs w:val="28"/>
              </w:rPr>
              <w:t>027</w:t>
            </w:r>
            <w:r w:rsidR="0018486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0F34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18FE"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3CB5" w:rsidRDefault="008A3CB5" w:rsidP="008A3CB5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5D58DC">
              <w:rPr>
                <w:rFonts w:ascii="Times New Roman" w:hAnsi="Times New Roman"/>
                <w:sz w:val="28"/>
                <w:szCs w:val="28"/>
              </w:rPr>
              <w:t>20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4041B">
              <w:rPr>
                <w:rFonts w:ascii="Times New Roman" w:hAnsi="Times New Roman"/>
                <w:sz w:val="28"/>
                <w:szCs w:val="28"/>
              </w:rPr>
              <w:t>1</w:t>
            </w:r>
            <w:r w:rsidR="00A42D58">
              <w:rPr>
                <w:rFonts w:ascii="Times New Roman" w:hAnsi="Times New Roman"/>
                <w:sz w:val="28"/>
                <w:szCs w:val="28"/>
              </w:rPr>
              <w:t>64</w:t>
            </w:r>
            <w:r w:rsidR="00B4041B">
              <w:rPr>
                <w:rFonts w:ascii="Times New Roman" w:hAnsi="Times New Roman"/>
                <w:sz w:val="28"/>
                <w:szCs w:val="28"/>
              </w:rPr>
              <w:t> </w:t>
            </w:r>
            <w:r w:rsidR="00A42D58">
              <w:rPr>
                <w:rFonts w:ascii="Times New Roman" w:hAnsi="Times New Roman"/>
                <w:sz w:val="28"/>
                <w:szCs w:val="28"/>
              </w:rPr>
              <w:t>0</w:t>
            </w:r>
            <w:r w:rsidR="00B4041B">
              <w:rPr>
                <w:rFonts w:ascii="Times New Roman" w:hAnsi="Times New Roman"/>
                <w:sz w:val="28"/>
                <w:szCs w:val="28"/>
              </w:rPr>
              <w:t xml:space="preserve">09 </w:t>
            </w:r>
            <w:r w:rsidR="00184866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A53AFF">
              <w:rPr>
                <w:rFonts w:ascii="Times New Roman" w:hAnsi="Times New Roman"/>
                <w:sz w:val="28"/>
                <w:szCs w:val="28"/>
              </w:rPr>
              <w:t>2</w:t>
            </w:r>
            <w:r w:rsidR="005D58DC">
              <w:rPr>
                <w:rFonts w:ascii="Times New Roman" w:hAnsi="Times New Roman"/>
                <w:sz w:val="28"/>
                <w:szCs w:val="28"/>
              </w:rPr>
              <w:t>1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B4041B">
              <w:rPr>
                <w:rFonts w:ascii="Times New Roman" w:hAnsi="Times New Roman"/>
                <w:sz w:val="28"/>
                <w:szCs w:val="28"/>
              </w:rPr>
              <w:t>1</w:t>
            </w:r>
            <w:r w:rsidR="00A42D58">
              <w:rPr>
                <w:rFonts w:ascii="Times New Roman" w:hAnsi="Times New Roman"/>
                <w:sz w:val="28"/>
                <w:szCs w:val="28"/>
              </w:rPr>
              <w:t>64</w:t>
            </w:r>
            <w:r w:rsidR="00B4041B">
              <w:rPr>
                <w:rFonts w:ascii="Times New Roman" w:hAnsi="Times New Roman"/>
                <w:sz w:val="28"/>
                <w:szCs w:val="28"/>
              </w:rPr>
              <w:t> </w:t>
            </w:r>
            <w:r w:rsidR="00A42D58">
              <w:rPr>
                <w:rFonts w:ascii="Times New Roman" w:hAnsi="Times New Roman"/>
                <w:sz w:val="28"/>
                <w:szCs w:val="28"/>
              </w:rPr>
              <w:t>00</w:t>
            </w:r>
            <w:r w:rsidR="00B4041B">
              <w:rPr>
                <w:rFonts w:ascii="Times New Roman" w:hAnsi="Times New Roman"/>
                <w:sz w:val="28"/>
                <w:szCs w:val="28"/>
              </w:rPr>
              <w:t>9 ,00</w:t>
            </w:r>
            <w:r w:rsidR="00B4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D58DC">
              <w:rPr>
                <w:rFonts w:ascii="Times New Roman" w:hAnsi="Times New Roman"/>
                <w:sz w:val="28"/>
                <w:szCs w:val="28"/>
              </w:rPr>
              <w:t>2</w:t>
            </w:r>
            <w:r w:rsidR="00184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 w:rsidR="00184866"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4041B">
              <w:rPr>
                <w:rFonts w:ascii="Times New Roman" w:hAnsi="Times New Roman"/>
                <w:sz w:val="28"/>
                <w:szCs w:val="28"/>
              </w:rPr>
              <w:t>1</w:t>
            </w:r>
            <w:r w:rsidR="00A42D58">
              <w:rPr>
                <w:rFonts w:ascii="Times New Roman" w:hAnsi="Times New Roman"/>
                <w:sz w:val="28"/>
                <w:szCs w:val="28"/>
              </w:rPr>
              <w:t>64</w:t>
            </w:r>
            <w:r w:rsidR="00B4041B">
              <w:rPr>
                <w:rFonts w:ascii="Times New Roman" w:hAnsi="Times New Roman"/>
                <w:sz w:val="28"/>
                <w:szCs w:val="28"/>
              </w:rPr>
              <w:t> </w:t>
            </w:r>
            <w:r w:rsidR="00A42D58">
              <w:rPr>
                <w:rFonts w:ascii="Times New Roman" w:hAnsi="Times New Roman"/>
                <w:sz w:val="28"/>
                <w:szCs w:val="28"/>
              </w:rPr>
              <w:t>0</w:t>
            </w:r>
            <w:r w:rsidR="00B4041B">
              <w:rPr>
                <w:rFonts w:ascii="Times New Roman" w:hAnsi="Times New Roman"/>
                <w:sz w:val="28"/>
                <w:szCs w:val="28"/>
              </w:rPr>
              <w:t>09 ,00</w:t>
            </w:r>
            <w:r w:rsidR="00B4041B"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A3CB5" w:rsidRPr="00CC4A85" w:rsidRDefault="008A3CB5" w:rsidP="008A3CB5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A53AFF" w:rsidRPr="003F18FE" w:rsidRDefault="00A53AFF" w:rsidP="00A53AFF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3F18FE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04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42D58">
              <w:rPr>
                <w:rFonts w:ascii="Times New Roman" w:hAnsi="Times New Roman" w:cs="Times New Roman"/>
                <w:sz w:val="28"/>
                <w:szCs w:val="28"/>
              </w:rPr>
              <w:t> 084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F18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3AFF" w:rsidRDefault="00A53AFF" w:rsidP="00A53AFF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5D58D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42D58">
              <w:rPr>
                <w:rFonts w:ascii="Times New Roman" w:hAnsi="Times New Roman"/>
                <w:sz w:val="28"/>
                <w:szCs w:val="28"/>
              </w:rPr>
              <w:t xml:space="preserve"> 694 7</w:t>
            </w:r>
            <w:r>
              <w:rPr>
                <w:rFonts w:ascii="Times New Roman" w:hAnsi="Times New Roman"/>
                <w:sz w:val="28"/>
                <w:szCs w:val="28"/>
              </w:rPr>
              <w:t>00,00</w:t>
            </w:r>
            <w:r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A53AFF" w:rsidRPr="00CC4A85" w:rsidRDefault="00A53AFF" w:rsidP="00A53AF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D58DC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B404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041B"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A42D58">
              <w:rPr>
                <w:rFonts w:ascii="Times New Roman" w:hAnsi="Times New Roman"/>
                <w:sz w:val="28"/>
                <w:szCs w:val="28"/>
              </w:rPr>
              <w:t>1 694 700,00</w:t>
            </w:r>
            <w:r w:rsidR="00A42D58"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2D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EA38C4" w:rsidRDefault="00A53AFF" w:rsidP="00A53AF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D58DC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041B"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A42D58">
              <w:rPr>
                <w:rFonts w:ascii="Times New Roman" w:hAnsi="Times New Roman"/>
                <w:sz w:val="28"/>
                <w:szCs w:val="28"/>
              </w:rPr>
              <w:t>1 694 700,00</w:t>
            </w:r>
            <w:r w:rsidR="00A42D58" w:rsidRPr="003F18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2D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EA38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A3CB5" w:rsidRPr="00CC4A85" w:rsidRDefault="008A3CB5" w:rsidP="00A53AFF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 w:rsidR="008C29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29BB" w:rsidRPr="00CC4A85">
              <w:rPr>
                <w:rFonts w:ascii="Times New Roman" w:hAnsi="Times New Roman"/>
                <w:sz w:val="28"/>
                <w:szCs w:val="28"/>
              </w:rPr>
              <w:t>0,00 руб.</w:t>
            </w:r>
          </w:p>
          <w:p w:rsidR="00107288" w:rsidRPr="0004633A" w:rsidRDefault="00107288" w:rsidP="00184866">
            <w:pPr>
              <w:spacing w:after="0" w:line="240" w:lineRule="auto"/>
            </w:pP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7C0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288" w:rsidRPr="00DE096E" w:rsidRDefault="00747481" w:rsidP="00107288">
      <w:pPr>
        <w:jc w:val="center"/>
        <w:rPr>
          <w:rFonts w:ascii="Times New Roman" w:hAnsi="Times New Roman" w:cs="Times New Roman"/>
          <w:sz w:val="28"/>
          <w:szCs w:val="28"/>
        </w:rPr>
      </w:pPr>
      <w:r w:rsidRPr="00DE096E">
        <w:rPr>
          <w:rFonts w:ascii="Times New Roman" w:hAnsi="Times New Roman" w:cs="Times New Roman"/>
          <w:sz w:val="28"/>
          <w:szCs w:val="28"/>
        </w:rPr>
        <w:t>2</w:t>
      </w:r>
      <w:r w:rsidR="00107288" w:rsidRPr="00DE096E">
        <w:rPr>
          <w:rFonts w:ascii="Times New Roman" w:hAnsi="Times New Roman" w:cs="Times New Roman"/>
          <w:sz w:val="28"/>
          <w:szCs w:val="28"/>
        </w:rPr>
        <w:t xml:space="preserve">. Основные разделы </w:t>
      </w:r>
      <w:r w:rsidR="005D58DC" w:rsidRPr="00DE096E">
        <w:rPr>
          <w:rFonts w:ascii="Times New Roman" w:hAnsi="Times New Roman" w:cs="Times New Roman"/>
          <w:sz w:val="28"/>
          <w:szCs w:val="28"/>
        </w:rPr>
        <w:t>П</w:t>
      </w:r>
      <w:r w:rsidR="00107288" w:rsidRPr="00DE096E">
        <w:rPr>
          <w:rFonts w:ascii="Times New Roman" w:hAnsi="Times New Roman" w:cs="Times New Roman"/>
          <w:sz w:val="28"/>
          <w:szCs w:val="28"/>
        </w:rPr>
        <w:t>одпрограммы</w:t>
      </w:r>
      <w:r w:rsidR="005D58DC" w:rsidRPr="00DE096E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BA4EE0" w:rsidRDefault="00107288" w:rsidP="002E3D8B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DE096E">
        <w:rPr>
          <w:rFonts w:ascii="Times New Roman" w:hAnsi="Times New Roman" w:cs="Times New Roman"/>
          <w:sz w:val="28"/>
          <w:szCs w:val="28"/>
        </w:rPr>
        <w:t xml:space="preserve">2.1. Постановка муниципальной  проблемы и обоснование необходимости разработки </w:t>
      </w:r>
      <w:r w:rsidR="005D58DC" w:rsidRPr="00DE096E">
        <w:rPr>
          <w:rFonts w:ascii="Times New Roman" w:hAnsi="Times New Roman" w:cs="Times New Roman"/>
          <w:sz w:val="28"/>
          <w:szCs w:val="28"/>
        </w:rPr>
        <w:t>П</w:t>
      </w:r>
      <w:r w:rsidRPr="00DE096E">
        <w:rPr>
          <w:rFonts w:ascii="Times New Roman" w:hAnsi="Times New Roman" w:cs="Times New Roman"/>
          <w:sz w:val="28"/>
          <w:szCs w:val="28"/>
        </w:rPr>
        <w:t>одпрограммы</w:t>
      </w:r>
      <w:r w:rsidR="005D58DC" w:rsidRPr="00DE096E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F421E3" w:rsidRDefault="00064C92" w:rsidP="002E3D8B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 является одн</w:t>
      </w:r>
      <w:r w:rsidR="00526C6A">
        <w:rPr>
          <w:rFonts w:ascii="Times New Roman" w:hAnsi="Times New Roman" w:cs="Times New Roman"/>
          <w:sz w:val="28"/>
          <w:szCs w:val="28"/>
        </w:rPr>
        <w:t>ой из территорий</w:t>
      </w:r>
      <w:r w:rsidR="00F421E3" w:rsidRPr="00F421E3">
        <w:rPr>
          <w:rFonts w:ascii="Times New Roman" w:hAnsi="Times New Roman" w:cs="Times New Roman"/>
          <w:sz w:val="28"/>
          <w:szCs w:val="28"/>
        </w:rPr>
        <w:t xml:space="preserve">, требующих к себе повышенного внимания. </w:t>
      </w:r>
      <w:r w:rsidR="00747481">
        <w:rPr>
          <w:rFonts w:ascii="Times New Roman" w:hAnsi="Times New Roman" w:cs="Times New Roman"/>
          <w:sz w:val="28"/>
          <w:szCs w:val="28"/>
        </w:rPr>
        <w:t xml:space="preserve">Это связано с расположением на территории ЗАТО Железногорск объектов атомного комплекса, оказывающего воздействие на экологическую ситуацию Красноярского края в целом и на ЗАТО Железногорск в том числе. Санитарное благополучие территории помимо </w:t>
      </w:r>
      <w:r w:rsidR="00BC3E61">
        <w:rPr>
          <w:rFonts w:ascii="Times New Roman" w:hAnsi="Times New Roman" w:cs="Times New Roman"/>
          <w:sz w:val="28"/>
          <w:szCs w:val="28"/>
        </w:rPr>
        <w:t>достижения сокращения сбросов и выбросов от</w:t>
      </w:r>
      <w:r w:rsidR="00747481">
        <w:rPr>
          <w:rFonts w:ascii="Times New Roman" w:hAnsi="Times New Roman" w:cs="Times New Roman"/>
          <w:sz w:val="28"/>
          <w:szCs w:val="28"/>
        </w:rPr>
        <w:t xml:space="preserve">  промышленных предприятий, автотранспорта, </w:t>
      </w:r>
      <w:r w:rsidR="00BC3E61">
        <w:rPr>
          <w:rFonts w:ascii="Times New Roman" w:hAnsi="Times New Roman" w:cs="Times New Roman"/>
          <w:sz w:val="28"/>
          <w:szCs w:val="28"/>
        </w:rPr>
        <w:t>связано с санитарно-эпидемиологически</w:t>
      </w:r>
      <w:r w:rsidR="00534DCD">
        <w:rPr>
          <w:rFonts w:ascii="Times New Roman" w:hAnsi="Times New Roman" w:cs="Times New Roman"/>
          <w:sz w:val="28"/>
          <w:szCs w:val="28"/>
        </w:rPr>
        <w:t>м</w:t>
      </w:r>
      <w:r w:rsidR="00BC3E61">
        <w:rPr>
          <w:rFonts w:ascii="Times New Roman" w:hAnsi="Times New Roman" w:cs="Times New Roman"/>
          <w:sz w:val="28"/>
          <w:szCs w:val="28"/>
        </w:rPr>
        <w:t xml:space="preserve"> благополучным состоянием территорий садоводческих товариществ и гаражных кооперативов</w:t>
      </w:r>
      <w:r w:rsidR="00534DCD">
        <w:rPr>
          <w:rFonts w:ascii="Times New Roman" w:hAnsi="Times New Roman" w:cs="Times New Roman"/>
          <w:sz w:val="28"/>
          <w:szCs w:val="28"/>
        </w:rPr>
        <w:t>, а также территорий, прилегающих к ним</w:t>
      </w:r>
      <w:r w:rsidR="00BC3E61">
        <w:rPr>
          <w:rFonts w:ascii="Times New Roman" w:hAnsi="Times New Roman" w:cs="Times New Roman"/>
          <w:sz w:val="28"/>
          <w:szCs w:val="28"/>
        </w:rPr>
        <w:t>.</w:t>
      </w:r>
      <w:r w:rsidR="0074748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60B76" w:rsidRPr="00C14002" w:rsidRDefault="009B3BB3" w:rsidP="00C140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4002">
        <w:rPr>
          <w:rFonts w:ascii="Times New Roman" w:hAnsi="Times New Roman" w:cs="Times New Roman"/>
          <w:sz w:val="28"/>
          <w:szCs w:val="28"/>
        </w:rPr>
        <w:t xml:space="preserve">На территории ЗАТО Железногорск расположено более </w:t>
      </w:r>
      <w:r w:rsidR="003E22EF" w:rsidRPr="00C14002">
        <w:rPr>
          <w:rFonts w:ascii="Times New Roman" w:hAnsi="Times New Roman" w:cs="Times New Roman"/>
          <w:sz w:val="28"/>
          <w:szCs w:val="28"/>
        </w:rPr>
        <w:t>57 садоводческих товариществ, 66 гаражных кооперативов. Наличие садово-огородных участков позволяет обеспечивать жителей экологически чистыми продуктами садоводства и овощеводства, успешно решать проблему активного семейного отдыха и создавать условия для организации воспитания и досуга подростков и детей. Инженерные сети товариществ, как садоводческих</w:t>
      </w:r>
      <w:r w:rsidR="00743FE7" w:rsidRPr="00C14002">
        <w:rPr>
          <w:rFonts w:ascii="Times New Roman" w:hAnsi="Times New Roman" w:cs="Times New Roman"/>
          <w:sz w:val="28"/>
          <w:szCs w:val="28"/>
        </w:rPr>
        <w:t>,</w:t>
      </w:r>
      <w:r w:rsidR="003E22EF" w:rsidRPr="00C14002">
        <w:rPr>
          <w:rFonts w:ascii="Times New Roman" w:hAnsi="Times New Roman" w:cs="Times New Roman"/>
          <w:sz w:val="28"/>
          <w:szCs w:val="28"/>
        </w:rPr>
        <w:t xml:space="preserve"> так и гаражных эксплуатируются более 3</w:t>
      </w:r>
      <w:r w:rsidR="00104319">
        <w:rPr>
          <w:rFonts w:ascii="Times New Roman" w:hAnsi="Times New Roman" w:cs="Times New Roman"/>
          <w:sz w:val="28"/>
          <w:szCs w:val="28"/>
        </w:rPr>
        <w:t xml:space="preserve">5 </w:t>
      </w:r>
      <w:r w:rsidR="003E22EF" w:rsidRPr="00C14002">
        <w:rPr>
          <w:rFonts w:ascii="Times New Roman" w:hAnsi="Times New Roman" w:cs="Times New Roman"/>
          <w:sz w:val="28"/>
          <w:szCs w:val="28"/>
        </w:rPr>
        <w:t>-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="003E22EF" w:rsidRPr="00C14002">
        <w:rPr>
          <w:rFonts w:ascii="Times New Roman" w:hAnsi="Times New Roman" w:cs="Times New Roman"/>
          <w:sz w:val="28"/>
          <w:szCs w:val="28"/>
        </w:rPr>
        <w:t xml:space="preserve">40 лет, состояние в большинстве своем, аварийное. Организация и проведение конкурсов экологической направленности, </w:t>
      </w:r>
      <w:r w:rsidR="00C14002">
        <w:rPr>
          <w:rFonts w:ascii="Times New Roman" w:hAnsi="Times New Roman" w:cs="Times New Roman"/>
          <w:sz w:val="28"/>
          <w:szCs w:val="28"/>
        </w:rPr>
        <w:t>конкурсным отбором которых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 является ликвидация несанкционированных свалок, устро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йство организованных площадок, </w:t>
      </w:r>
      <w:r w:rsidR="00743FE7" w:rsidRPr="00C14002">
        <w:rPr>
          <w:rFonts w:ascii="Times New Roman" w:hAnsi="Times New Roman" w:cs="Times New Roman"/>
          <w:sz w:val="28"/>
          <w:szCs w:val="28"/>
        </w:rPr>
        <w:t>установка контейнерного оборудования для сбора Т</w:t>
      </w:r>
      <w:r w:rsidR="00104319">
        <w:rPr>
          <w:rFonts w:ascii="Times New Roman" w:hAnsi="Times New Roman" w:cs="Times New Roman"/>
          <w:sz w:val="28"/>
          <w:szCs w:val="28"/>
        </w:rPr>
        <w:t>К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743FE7" w:rsidRPr="00C14002">
        <w:rPr>
          <w:rFonts w:ascii="Times New Roman" w:hAnsi="Times New Roman" w:cs="Times New Roman"/>
          <w:sz w:val="28"/>
          <w:szCs w:val="28"/>
        </w:rPr>
        <w:t>позволяет</w:t>
      </w:r>
      <w:proofErr w:type="gramEnd"/>
      <w:r w:rsidR="00743FE7" w:rsidRPr="00C14002">
        <w:rPr>
          <w:rFonts w:ascii="Times New Roman" w:hAnsi="Times New Roman" w:cs="Times New Roman"/>
          <w:sz w:val="28"/>
          <w:szCs w:val="28"/>
        </w:rPr>
        <w:t xml:space="preserve"> 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используя полномочия местного значения решить вопрос </w:t>
      </w:r>
      <w:r w:rsidR="00C14002">
        <w:rPr>
          <w:rFonts w:ascii="Times New Roman" w:hAnsi="Times New Roman" w:cs="Times New Roman"/>
          <w:sz w:val="28"/>
          <w:szCs w:val="28"/>
        </w:rPr>
        <w:t xml:space="preserve">участия в организации деятельности по сбору, транспортированию, обработке, утилизации твердых коммунальных отходов на территориях соответствующих муниципальных районов и </w:t>
      </w:r>
      <w:r w:rsidR="00C14002" w:rsidRPr="00C14002">
        <w:rPr>
          <w:rFonts w:ascii="Times New Roman" w:hAnsi="Times New Roman" w:cs="Times New Roman"/>
          <w:sz w:val="28"/>
          <w:szCs w:val="28"/>
        </w:rPr>
        <w:t xml:space="preserve"> </w:t>
      </w:r>
      <w:r w:rsidR="00743FE7" w:rsidRPr="00C14002">
        <w:rPr>
          <w:rFonts w:ascii="Times New Roman" w:hAnsi="Times New Roman" w:cs="Times New Roman"/>
          <w:sz w:val="28"/>
          <w:szCs w:val="28"/>
        </w:rPr>
        <w:t>оказать финансовую поддержку садоводческим товариществам и гаражным кооперативам</w:t>
      </w:r>
      <w:r w:rsidR="00C14002">
        <w:rPr>
          <w:rFonts w:ascii="Times New Roman" w:hAnsi="Times New Roman" w:cs="Times New Roman"/>
          <w:sz w:val="28"/>
          <w:szCs w:val="28"/>
        </w:rPr>
        <w:t xml:space="preserve"> (некоммерческим организациям)</w:t>
      </w:r>
      <w:r w:rsidR="00743FE7" w:rsidRPr="00C14002">
        <w:rPr>
          <w:rFonts w:ascii="Times New Roman" w:hAnsi="Times New Roman" w:cs="Times New Roman"/>
          <w:sz w:val="28"/>
          <w:szCs w:val="28"/>
        </w:rPr>
        <w:t xml:space="preserve">, а также способствует развитию экологического сознания </w:t>
      </w:r>
      <w:proofErr w:type="gramStart"/>
      <w:r w:rsidR="00743FE7" w:rsidRPr="00C14002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="00743FE7" w:rsidRPr="00C14002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DA1E0A" w:rsidRPr="00747481" w:rsidRDefault="002E3D8B" w:rsidP="002E3D8B">
      <w:pPr>
        <w:pStyle w:val="a4"/>
        <w:spacing w:after="0"/>
        <w:ind w:left="0" w:firstLine="643"/>
        <w:jc w:val="both"/>
        <w:rPr>
          <w:sz w:val="28"/>
          <w:szCs w:val="28"/>
        </w:rPr>
      </w:pPr>
      <w:r w:rsidRPr="00C14002">
        <w:rPr>
          <w:rFonts w:eastAsiaTheme="minorHAnsi"/>
          <w:sz w:val="28"/>
          <w:szCs w:val="28"/>
          <w:lang w:eastAsia="en-US"/>
        </w:rPr>
        <w:t xml:space="preserve">В дальнейшем </w:t>
      </w:r>
      <w:r w:rsidR="008320AF" w:rsidRPr="00C14002">
        <w:rPr>
          <w:rFonts w:eastAsiaTheme="minorHAnsi"/>
          <w:sz w:val="28"/>
          <w:szCs w:val="28"/>
          <w:lang w:eastAsia="en-US"/>
        </w:rPr>
        <w:t xml:space="preserve"> целью предупреждения и ликвидации болезней животных</w:t>
      </w:r>
      <w:r w:rsidR="008320AF" w:rsidRPr="00747481">
        <w:rPr>
          <w:sz w:val="28"/>
          <w:szCs w:val="28"/>
        </w:rPr>
        <w:t xml:space="preserve">, защиты населения от болезней общих для человека и животных, обеспечения безопасности населения </w:t>
      </w:r>
      <w:r>
        <w:rPr>
          <w:sz w:val="28"/>
          <w:szCs w:val="28"/>
        </w:rPr>
        <w:t xml:space="preserve">планируется </w:t>
      </w:r>
      <w:r w:rsidR="008320AF" w:rsidRPr="00747481">
        <w:rPr>
          <w:sz w:val="28"/>
          <w:szCs w:val="28"/>
        </w:rPr>
        <w:t>пров</w:t>
      </w:r>
      <w:r>
        <w:rPr>
          <w:sz w:val="28"/>
          <w:szCs w:val="28"/>
        </w:rPr>
        <w:t>е</w:t>
      </w:r>
      <w:r w:rsidR="008320AF" w:rsidRPr="00747481">
        <w:rPr>
          <w:sz w:val="28"/>
          <w:szCs w:val="28"/>
        </w:rPr>
        <w:t>д</w:t>
      </w:r>
      <w:r>
        <w:rPr>
          <w:sz w:val="28"/>
          <w:szCs w:val="28"/>
        </w:rPr>
        <w:t xml:space="preserve">ение </w:t>
      </w:r>
      <w:r w:rsidR="008320AF" w:rsidRPr="00747481">
        <w:rPr>
          <w:sz w:val="28"/>
          <w:szCs w:val="28"/>
        </w:rPr>
        <w:t xml:space="preserve"> мероприятия по отлову, учету, содержанию и иному обращению с безнадзорными животными. Мероприятия способствуют гуманному регулированию численности безнадзорных животных</w:t>
      </w:r>
      <w:r w:rsidR="0017292C" w:rsidRPr="00747481">
        <w:rPr>
          <w:sz w:val="28"/>
          <w:szCs w:val="28"/>
        </w:rPr>
        <w:t xml:space="preserve"> при обеспечении проведений мероприятий по защите населения от болезней общих для животных и человека.</w:t>
      </w:r>
      <w:r w:rsidR="002B4E7A">
        <w:rPr>
          <w:sz w:val="28"/>
          <w:szCs w:val="28"/>
        </w:rPr>
        <w:t xml:space="preserve"> Данные мероприятия являются обеспечением исполнения отдельных  государственных полномочий</w:t>
      </w:r>
      <w:r w:rsidR="002B4E7A" w:rsidRPr="002B4E7A">
        <w:rPr>
          <w:sz w:val="28"/>
          <w:szCs w:val="28"/>
        </w:rPr>
        <w:t xml:space="preserve"> по </w:t>
      </w:r>
      <w:r w:rsidR="002B4E7A">
        <w:rPr>
          <w:sz w:val="28"/>
          <w:szCs w:val="28"/>
        </w:rPr>
        <w:t xml:space="preserve">организации </w:t>
      </w:r>
      <w:r w:rsidR="002B4E7A" w:rsidRPr="002B4E7A">
        <w:rPr>
          <w:sz w:val="28"/>
          <w:szCs w:val="28"/>
        </w:rPr>
        <w:t>отлов</w:t>
      </w:r>
      <w:r w:rsidR="002B4E7A">
        <w:rPr>
          <w:sz w:val="28"/>
          <w:szCs w:val="28"/>
        </w:rPr>
        <w:t>а</w:t>
      </w:r>
      <w:r w:rsidR="002B4E7A" w:rsidRPr="002B4E7A">
        <w:rPr>
          <w:sz w:val="28"/>
          <w:szCs w:val="28"/>
        </w:rPr>
        <w:t xml:space="preserve"> и содержани</w:t>
      </w:r>
      <w:r w:rsidR="002B4E7A">
        <w:rPr>
          <w:sz w:val="28"/>
          <w:szCs w:val="28"/>
        </w:rPr>
        <w:t>я</w:t>
      </w:r>
      <w:r w:rsidR="002B4E7A" w:rsidRPr="002B4E7A">
        <w:rPr>
          <w:sz w:val="28"/>
          <w:szCs w:val="28"/>
        </w:rPr>
        <w:t xml:space="preserve"> безнадзорных животных</w:t>
      </w:r>
      <w:r w:rsidR="002B4E7A">
        <w:rPr>
          <w:sz w:val="28"/>
          <w:szCs w:val="28"/>
        </w:rPr>
        <w:t xml:space="preserve"> за счет средств краевого бюджета, однако в связи с </w:t>
      </w:r>
      <w:r w:rsidR="00E84DAE">
        <w:rPr>
          <w:sz w:val="28"/>
          <w:szCs w:val="28"/>
        </w:rPr>
        <w:t>увеличением популяции безнадзорных животных и участившимися</w:t>
      </w:r>
      <w:r w:rsidR="002B4E7A">
        <w:rPr>
          <w:sz w:val="28"/>
          <w:szCs w:val="28"/>
        </w:rPr>
        <w:t xml:space="preserve"> </w:t>
      </w:r>
      <w:r w:rsidR="002B4E7A">
        <w:rPr>
          <w:sz w:val="28"/>
          <w:szCs w:val="28"/>
        </w:rPr>
        <w:lastRenderedPageBreak/>
        <w:t xml:space="preserve">случаями нападения </w:t>
      </w:r>
      <w:r w:rsidR="00E84DAE">
        <w:rPr>
          <w:sz w:val="28"/>
          <w:szCs w:val="28"/>
        </w:rPr>
        <w:t>их на людей,</w:t>
      </w:r>
      <w:r w:rsidR="002B4E7A">
        <w:rPr>
          <w:sz w:val="28"/>
          <w:szCs w:val="28"/>
        </w:rPr>
        <w:t xml:space="preserve"> для обеспечения безопасности граждан, проживающих </w:t>
      </w:r>
      <w:proofErr w:type="gramStart"/>
      <w:r w:rsidR="002B4E7A">
        <w:rPr>
          <w:sz w:val="28"/>
          <w:szCs w:val="28"/>
        </w:rPr>
        <w:t>в</w:t>
      </w:r>
      <w:proofErr w:type="gramEnd"/>
      <w:r w:rsidR="002B4E7A">
        <w:rPr>
          <w:sz w:val="28"/>
          <w:szCs w:val="28"/>
        </w:rPr>
        <w:t xml:space="preserve"> ЗАТО Железногорск необходимы дополнительные средства из </w:t>
      </w:r>
      <w:r w:rsidR="00D02739">
        <w:rPr>
          <w:sz w:val="28"/>
          <w:szCs w:val="28"/>
        </w:rPr>
        <w:t>местного</w:t>
      </w:r>
      <w:r w:rsidR="002B4E7A">
        <w:rPr>
          <w:sz w:val="28"/>
          <w:szCs w:val="28"/>
        </w:rPr>
        <w:t xml:space="preserve"> бюджета.</w:t>
      </w:r>
    </w:p>
    <w:p w:rsidR="009B3BB3" w:rsidRDefault="0017292C" w:rsidP="002E3D8B">
      <w:pPr>
        <w:pStyle w:val="a4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320AF">
        <w:rPr>
          <w:sz w:val="26"/>
          <w:szCs w:val="26"/>
        </w:rPr>
        <w:t xml:space="preserve">    </w:t>
      </w:r>
    </w:p>
    <w:p w:rsidR="00FD10BA" w:rsidRDefault="00FD10BA" w:rsidP="002E3D8B">
      <w:pPr>
        <w:pStyle w:val="a4"/>
        <w:ind w:firstLine="360"/>
        <w:jc w:val="both"/>
        <w:rPr>
          <w:sz w:val="26"/>
          <w:szCs w:val="26"/>
        </w:rPr>
      </w:pPr>
    </w:p>
    <w:p w:rsidR="00567779" w:rsidRPr="00DE096E" w:rsidRDefault="00567779" w:rsidP="0056777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E096E">
        <w:rPr>
          <w:rFonts w:ascii="Times New Roman" w:hAnsi="Times New Roman" w:cs="Times New Roman"/>
          <w:b w:val="0"/>
          <w:sz w:val="28"/>
          <w:szCs w:val="28"/>
        </w:rPr>
        <w:t xml:space="preserve">2.2. Основная цель, задачи  и сроки выполнения </w:t>
      </w:r>
      <w:r w:rsidR="005D58DC" w:rsidRPr="00DE096E">
        <w:rPr>
          <w:rFonts w:ascii="Times New Roman" w:hAnsi="Times New Roman" w:cs="Times New Roman"/>
          <w:b w:val="0"/>
          <w:sz w:val="28"/>
          <w:szCs w:val="28"/>
        </w:rPr>
        <w:t xml:space="preserve">Подпрограммы </w:t>
      </w:r>
      <w:r w:rsidR="00300F28" w:rsidRPr="00DE096E">
        <w:rPr>
          <w:rFonts w:ascii="Times New Roman" w:hAnsi="Times New Roman" w:cs="Times New Roman"/>
          <w:b w:val="0"/>
          <w:sz w:val="28"/>
          <w:szCs w:val="28"/>
        </w:rPr>
        <w:t>№</w:t>
      </w:r>
      <w:r w:rsidR="005D58DC" w:rsidRPr="00DE096E">
        <w:rPr>
          <w:rFonts w:ascii="Times New Roman" w:hAnsi="Times New Roman" w:cs="Times New Roman"/>
          <w:b w:val="0"/>
          <w:sz w:val="28"/>
          <w:szCs w:val="28"/>
        </w:rPr>
        <w:t xml:space="preserve">2, показатели </w:t>
      </w:r>
      <w:r w:rsidR="00751067" w:rsidRPr="00DE096E">
        <w:rPr>
          <w:rFonts w:ascii="Times New Roman" w:hAnsi="Times New Roman" w:cs="Times New Roman"/>
          <w:b w:val="0"/>
          <w:sz w:val="28"/>
          <w:szCs w:val="28"/>
        </w:rPr>
        <w:t xml:space="preserve"> результативности</w:t>
      </w:r>
      <w:r w:rsidRPr="00DE096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84866" w:rsidRDefault="00567779" w:rsidP="00184866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 xml:space="preserve">Цель подпрограммы: </w:t>
      </w:r>
    </w:p>
    <w:p w:rsidR="007C7F53" w:rsidRDefault="00184866" w:rsidP="00184866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55841">
        <w:rPr>
          <w:rFonts w:ascii="Times New Roman" w:hAnsi="Times New Roman"/>
          <w:sz w:val="28"/>
          <w:szCs w:val="28"/>
        </w:rPr>
        <w:t>беспечени</w:t>
      </w:r>
      <w:r w:rsidR="00C917AA">
        <w:rPr>
          <w:rFonts w:ascii="Times New Roman" w:hAnsi="Times New Roman"/>
          <w:sz w:val="28"/>
          <w:szCs w:val="28"/>
        </w:rPr>
        <w:t>е</w:t>
      </w:r>
      <w:r w:rsidR="00455841">
        <w:rPr>
          <w:rFonts w:ascii="Times New Roman" w:hAnsi="Times New Roman"/>
          <w:sz w:val="28"/>
          <w:szCs w:val="28"/>
        </w:rPr>
        <w:t xml:space="preserve"> </w:t>
      </w:r>
      <w:r w:rsidR="00CA1955" w:rsidRPr="007C7F53">
        <w:rPr>
          <w:rFonts w:ascii="Times New Roman" w:hAnsi="Times New Roman"/>
          <w:sz w:val="28"/>
          <w:szCs w:val="28"/>
        </w:rPr>
        <w:t xml:space="preserve"> благоприятной окружающей среды</w:t>
      </w:r>
      <w:r w:rsidR="00EE4E6F">
        <w:rPr>
          <w:rFonts w:ascii="Times New Roman" w:hAnsi="Times New Roman"/>
          <w:sz w:val="28"/>
          <w:szCs w:val="28"/>
        </w:rPr>
        <w:t>, улучшение социально-экономических условий проживания населения.</w:t>
      </w:r>
      <w:r w:rsidR="00CA1955" w:rsidRPr="007C7F53">
        <w:rPr>
          <w:rFonts w:ascii="Times New Roman" w:hAnsi="Times New Roman"/>
          <w:sz w:val="28"/>
          <w:szCs w:val="28"/>
        </w:rPr>
        <w:t xml:space="preserve"> </w:t>
      </w:r>
    </w:p>
    <w:p w:rsidR="00567779" w:rsidRPr="007C7F53" w:rsidRDefault="00567779" w:rsidP="0018486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F53">
        <w:rPr>
          <w:rFonts w:ascii="Times New Roman" w:hAnsi="Times New Roman"/>
          <w:sz w:val="28"/>
          <w:szCs w:val="28"/>
        </w:rPr>
        <w:t>Задач</w:t>
      </w:r>
      <w:r w:rsidR="00A642FA">
        <w:rPr>
          <w:rFonts w:ascii="Times New Roman" w:hAnsi="Times New Roman"/>
          <w:sz w:val="28"/>
          <w:szCs w:val="28"/>
        </w:rPr>
        <w:t>а</w:t>
      </w:r>
      <w:r w:rsidRPr="007C7F53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567779" w:rsidRPr="00A970F5" w:rsidRDefault="003113CD" w:rsidP="0018486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безопасных условий проживания населения.</w:t>
      </w:r>
      <w:r w:rsidR="00567779" w:rsidRPr="00A970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779" w:rsidRDefault="00567779" w:rsidP="003113C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поставленной задачи </w:t>
      </w:r>
      <w:r w:rsidR="003113CD">
        <w:rPr>
          <w:rFonts w:ascii="Times New Roman" w:hAnsi="Times New Roman"/>
          <w:sz w:val="28"/>
          <w:szCs w:val="28"/>
        </w:rPr>
        <w:t xml:space="preserve">достигается путем </w:t>
      </w:r>
      <w:r w:rsidR="0017292C">
        <w:rPr>
          <w:rFonts w:ascii="Times New Roman" w:hAnsi="Times New Roman" w:cs="Times New Roman"/>
          <w:sz w:val="28"/>
          <w:szCs w:val="28"/>
        </w:rPr>
        <w:t>организаци</w:t>
      </w:r>
      <w:r w:rsidR="00A642FA">
        <w:rPr>
          <w:rFonts w:ascii="Times New Roman" w:hAnsi="Times New Roman" w:cs="Times New Roman"/>
          <w:sz w:val="28"/>
          <w:szCs w:val="28"/>
        </w:rPr>
        <w:t>и</w:t>
      </w:r>
      <w:r w:rsidR="0017292C">
        <w:rPr>
          <w:rFonts w:ascii="Times New Roman" w:hAnsi="Times New Roman" w:cs="Times New Roman"/>
          <w:sz w:val="28"/>
          <w:szCs w:val="28"/>
        </w:rPr>
        <w:t xml:space="preserve"> мероприятий по отлову, учету, содержанию и иному обращению с безнадзорными животными, а также </w:t>
      </w:r>
      <w:r w:rsidR="00B52A73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17292C">
        <w:rPr>
          <w:rFonts w:ascii="Times New Roman" w:hAnsi="Times New Roman" w:cs="Times New Roman"/>
          <w:sz w:val="28"/>
          <w:szCs w:val="28"/>
        </w:rPr>
        <w:t xml:space="preserve">проведением </w:t>
      </w:r>
      <w:r w:rsidR="00492E63">
        <w:rPr>
          <w:rFonts w:ascii="Times New Roman" w:hAnsi="Times New Roman" w:cs="Times New Roman"/>
          <w:sz w:val="28"/>
          <w:szCs w:val="28"/>
        </w:rPr>
        <w:t>аккарицидных обработок городских лесов.</w:t>
      </w:r>
      <w:r w:rsidR="001729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2FA" w:rsidRDefault="007C7F53" w:rsidP="0018486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 w:rsidR="00B52A73"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</w:t>
      </w:r>
      <w:r w:rsidR="00300F28">
        <w:rPr>
          <w:rFonts w:ascii="Times New Roman" w:hAnsi="Times New Roman" w:cs="Times New Roman"/>
          <w:sz w:val="28"/>
          <w:szCs w:val="28"/>
        </w:rPr>
        <w:t>20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FC4C1E">
        <w:rPr>
          <w:rFonts w:ascii="Times New Roman" w:hAnsi="Times New Roman" w:cs="Times New Roman"/>
          <w:sz w:val="28"/>
          <w:szCs w:val="28"/>
        </w:rPr>
        <w:t>-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FC4C1E">
        <w:rPr>
          <w:rFonts w:ascii="Times New Roman" w:hAnsi="Times New Roman" w:cs="Times New Roman"/>
          <w:sz w:val="28"/>
          <w:szCs w:val="28"/>
        </w:rPr>
        <w:t>20</w:t>
      </w:r>
      <w:r w:rsidR="009D79A6">
        <w:rPr>
          <w:rFonts w:ascii="Times New Roman" w:hAnsi="Times New Roman" w:cs="Times New Roman"/>
          <w:sz w:val="28"/>
          <w:szCs w:val="28"/>
        </w:rPr>
        <w:t>2</w:t>
      </w:r>
      <w:r w:rsidR="00300F28">
        <w:rPr>
          <w:rFonts w:ascii="Times New Roman" w:hAnsi="Times New Roman" w:cs="Times New Roman"/>
          <w:sz w:val="28"/>
          <w:szCs w:val="28"/>
        </w:rPr>
        <w:t>2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C7F53" w:rsidRPr="00FC4C1E" w:rsidRDefault="00D4144A" w:rsidP="0018486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значение показателей результативности указаны в </w:t>
      </w:r>
      <w:r w:rsidR="007C7F53" w:rsidRPr="00FC4C1E">
        <w:rPr>
          <w:rFonts w:ascii="Times New Roman" w:hAnsi="Times New Roman" w:cs="Times New Roman"/>
          <w:sz w:val="28"/>
          <w:szCs w:val="28"/>
        </w:rPr>
        <w:t xml:space="preserve">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C7F53" w:rsidRPr="00FC4C1E">
        <w:rPr>
          <w:rFonts w:ascii="Times New Roman" w:hAnsi="Times New Roman" w:cs="Times New Roman"/>
          <w:sz w:val="28"/>
          <w:szCs w:val="28"/>
        </w:rPr>
        <w:t xml:space="preserve"> к </w:t>
      </w:r>
      <w:r w:rsidR="008C29BB">
        <w:rPr>
          <w:rFonts w:ascii="Times New Roman" w:hAnsi="Times New Roman" w:cs="Times New Roman"/>
          <w:sz w:val="28"/>
          <w:szCs w:val="28"/>
        </w:rPr>
        <w:t>П</w:t>
      </w:r>
      <w:r w:rsidR="007C7F53"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2E3D8B" w:rsidRDefault="002E3D8B" w:rsidP="00184866">
      <w:pPr>
        <w:widowControl w:val="0"/>
        <w:tabs>
          <w:tab w:val="left" w:pos="40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2FA" w:rsidRPr="00DE096E" w:rsidRDefault="007C7F53" w:rsidP="00184866">
      <w:pPr>
        <w:widowControl w:val="0"/>
        <w:tabs>
          <w:tab w:val="left" w:pos="400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E096E">
        <w:rPr>
          <w:rFonts w:ascii="Times New Roman" w:hAnsi="Times New Roman" w:cs="Times New Roman"/>
          <w:sz w:val="28"/>
          <w:szCs w:val="28"/>
        </w:rPr>
        <w:t xml:space="preserve">2.3. Механизм реализации </w:t>
      </w:r>
      <w:r w:rsidR="00300F28" w:rsidRPr="00DE096E">
        <w:rPr>
          <w:rFonts w:ascii="Times New Roman" w:hAnsi="Times New Roman" w:cs="Times New Roman"/>
          <w:sz w:val="28"/>
          <w:szCs w:val="28"/>
        </w:rPr>
        <w:t>П</w:t>
      </w:r>
      <w:r w:rsidRPr="00DE096E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300F28" w:rsidRPr="00DE096E">
        <w:rPr>
          <w:rFonts w:ascii="Times New Roman" w:hAnsi="Times New Roman" w:cs="Times New Roman"/>
          <w:sz w:val="28"/>
          <w:szCs w:val="28"/>
        </w:rPr>
        <w:t>№ 2</w:t>
      </w:r>
    </w:p>
    <w:p w:rsidR="00B52A73" w:rsidRDefault="007C7F53" w:rsidP="0018486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64CB6">
        <w:rPr>
          <w:rFonts w:ascii="Times New Roman" w:hAnsi="Times New Roman"/>
          <w:sz w:val="28"/>
          <w:szCs w:val="28"/>
        </w:rPr>
        <w:t>Бюджетное финансирование мероприятий</w:t>
      </w:r>
      <w:r w:rsidR="00B52A73">
        <w:rPr>
          <w:rFonts w:ascii="Times New Roman" w:hAnsi="Times New Roman"/>
          <w:sz w:val="28"/>
          <w:szCs w:val="28"/>
        </w:rPr>
        <w:t xml:space="preserve"> подпрограммы</w:t>
      </w:r>
      <w:r w:rsidRPr="00964CB6">
        <w:rPr>
          <w:rFonts w:ascii="Times New Roman" w:hAnsi="Times New Roman"/>
          <w:sz w:val="28"/>
          <w:szCs w:val="28"/>
        </w:rPr>
        <w:t xml:space="preserve"> осуществляется </w:t>
      </w:r>
      <w:r w:rsidR="00A642FA">
        <w:rPr>
          <w:rFonts w:ascii="Times New Roman" w:hAnsi="Times New Roman"/>
          <w:sz w:val="28"/>
          <w:szCs w:val="28"/>
        </w:rPr>
        <w:t>путем</w:t>
      </w:r>
      <w:r w:rsidR="00B52A73">
        <w:rPr>
          <w:rFonts w:ascii="Times New Roman" w:hAnsi="Times New Roman"/>
          <w:sz w:val="28"/>
          <w:szCs w:val="28"/>
        </w:rPr>
        <w:t>:</w:t>
      </w:r>
    </w:p>
    <w:p w:rsidR="00B52A73" w:rsidRDefault="00B52A73" w:rsidP="0018486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11305">
        <w:rPr>
          <w:rFonts w:ascii="Times New Roman" w:hAnsi="Times New Roman" w:cs="Times New Roman"/>
          <w:sz w:val="28"/>
          <w:szCs w:val="28"/>
        </w:rPr>
        <w:t xml:space="preserve">ассигнования на выполнение муниципальных функций, в том числе ассигнования на оплату муниципальных контрактов на поставку товаров, выполнение работ, оказание услуг для муниципальных нужд в соответствии с </w:t>
      </w:r>
      <w:r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DB576C" w:rsidRPr="00D11305" w:rsidRDefault="00DB576C" w:rsidP="0018486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>Главным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средств, выделенных из местного </w:t>
      </w:r>
      <w:r w:rsidR="00751067">
        <w:rPr>
          <w:rFonts w:ascii="Times New Roman" w:hAnsi="Times New Roman" w:cs="Times New Roman"/>
          <w:sz w:val="28"/>
          <w:szCs w:val="28"/>
        </w:rPr>
        <w:t xml:space="preserve">и краевого </w:t>
      </w:r>
      <w:r w:rsidRPr="00D11305">
        <w:rPr>
          <w:rFonts w:ascii="Times New Roman" w:hAnsi="Times New Roman" w:cs="Times New Roman"/>
          <w:sz w:val="28"/>
          <w:szCs w:val="28"/>
        </w:rPr>
        <w:t>бюдж</w:t>
      </w:r>
      <w:r w:rsidR="00751067">
        <w:rPr>
          <w:rFonts w:ascii="Times New Roman" w:hAnsi="Times New Roman" w:cs="Times New Roman"/>
          <w:sz w:val="28"/>
          <w:szCs w:val="28"/>
        </w:rPr>
        <w:t>етов</w:t>
      </w:r>
      <w:r w:rsidRPr="00D11305">
        <w:rPr>
          <w:rFonts w:ascii="Times New Roman" w:hAnsi="Times New Roman" w:cs="Times New Roman"/>
          <w:sz w:val="28"/>
          <w:szCs w:val="28"/>
        </w:rPr>
        <w:t xml:space="preserve"> на реализацию мероприятий подпрограммы,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1305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Pr="00D11305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D1130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 w:rsidRPr="00D11305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576C" w:rsidRPr="00D11305" w:rsidRDefault="00DB576C" w:rsidP="0018486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305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D1130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751067">
        <w:rPr>
          <w:rFonts w:ascii="Times New Roman" w:hAnsi="Times New Roman" w:cs="Times New Roman"/>
          <w:sz w:val="28"/>
          <w:szCs w:val="28"/>
        </w:rPr>
        <w:t xml:space="preserve">и краевого </w:t>
      </w:r>
      <w:r w:rsidRPr="00D11305">
        <w:rPr>
          <w:rFonts w:ascii="Times New Roman" w:hAnsi="Times New Roman" w:cs="Times New Roman"/>
          <w:sz w:val="28"/>
          <w:szCs w:val="28"/>
        </w:rPr>
        <w:t>бюджет</w:t>
      </w:r>
      <w:r w:rsidR="0075106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осуществл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D113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C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</w:t>
      </w:r>
      <w:r w:rsidR="00104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Железногорск, </w:t>
      </w:r>
      <w:r w:rsidRPr="00D11305">
        <w:rPr>
          <w:rFonts w:ascii="Times New Roman" w:hAnsi="Times New Roman" w:cs="Times New Roman"/>
          <w:sz w:val="28"/>
          <w:szCs w:val="28"/>
        </w:rPr>
        <w:t>котор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D11305">
        <w:rPr>
          <w:rFonts w:ascii="Times New Roman" w:hAnsi="Times New Roman" w:cs="Times New Roman"/>
          <w:sz w:val="28"/>
          <w:szCs w:val="28"/>
        </w:rPr>
        <w:t xml:space="preserve"> получател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11305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D11305">
        <w:rPr>
          <w:rFonts w:ascii="Times New Roman" w:hAnsi="Times New Roman" w:cs="Times New Roman"/>
          <w:sz w:val="28"/>
          <w:szCs w:val="28"/>
        </w:rPr>
        <w:t xml:space="preserve"> ответственность за целевое </w:t>
      </w:r>
      <w:r>
        <w:rPr>
          <w:rFonts w:ascii="Times New Roman" w:hAnsi="Times New Roman" w:cs="Times New Roman"/>
          <w:sz w:val="28"/>
          <w:szCs w:val="28"/>
        </w:rPr>
        <w:t xml:space="preserve">и эффективное использование средств местного </w:t>
      </w:r>
      <w:r w:rsidR="00751067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751067">
        <w:rPr>
          <w:rFonts w:ascii="Times New Roman" w:hAnsi="Times New Roman" w:cs="Times New Roman"/>
          <w:sz w:val="28"/>
          <w:szCs w:val="28"/>
        </w:rPr>
        <w:t>ов</w:t>
      </w:r>
      <w:r w:rsidRPr="00D11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77C5" w:rsidRDefault="00D477C5" w:rsidP="004A133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6C8E" w:rsidRPr="005368D9" w:rsidRDefault="00A36C8E" w:rsidP="00A36C8E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368D9">
        <w:rPr>
          <w:rFonts w:ascii="Times New Roman" w:hAnsi="Times New Roman" w:cs="Times New Roman"/>
          <w:sz w:val="28"/>
          <w:szCs w:val="28"/>
        </w:rPr>
        <w:t xml:space="preserve"> и контроль </w:t>
      </w:r>
    </w:p>
    <w:p w:rsidR="00A36C8E" w:rsidRPr="005368D9" w:rsidRDefault="00A36C8E" w:rsidP="00A36C8E">
      <w:pPr>
        <w:widowControl w:val="0"/>
        <w:spacing w:after="0"/>
        <w:jc w:val="center"/>
        <w:rPr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за исполнением подпрограммы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Подпрограммы осуществляется Управлением городского хозяйства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Железногорск, которое от имени Администрации ЗАТО г. Железногорск осуществляет организационные, методические и контрольные функции в ходе реализации подпрограммы, в том числе: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формирует структуру муниципальной программы, а так же перечень исполнителей муниципальной 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lastRenderedPageBreak/>
        <w:t>- организует реализацию муниципальной программы, инициирует внесением изменений в муниципальную программу;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координирует деятельность исполнителей муниципальной программы в ходе реализации мероприятий Подпрограммы;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предоставляет по запросам сведения, необходимые для проведения мониторинга реализации муниципальной 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запрашивает у исполнителей муниципальной программы информацию, необходимую для подготовки отчета о ходе реализации муниципальной 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- подготавливает годовой отчет и предоставляет его в Управление экономики и планирования и Финансовое управление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несет ответственность за достижение целевых показателей и  показателей результативности муниципальной программы, а так же конечных результатов ее реализации;</w:t>
      </w:r>
    </w:p>
    <w:p w:rsidR="00A36C8E" w:rsidRPr="00821371" w:rsidRDefault="00A36C8E" w:rsidP="00A36C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по результатам годового отчета о ходе реализации муниципальной программы вносит изменения в муниципальную программу, заменяя плановые значения целевых показателей и показателей результативности по графе "Текущий финансовый год" на фактические значения.</w:t>
      </w:r>
    </w:p>
    <w:p w:rsidR="00A36C8E" w:rsidRDefault="00A36C8E" w:rsidP="00A36C8E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Финансового управления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Железногорск.</w:t>
      </w:r>
    </w:p>
    <w:p w:rsidR="00A36C8E" w:rsidRDefault="00A36C8E" w:rsidP="00A36C8E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Внешний муниципальный финансовый контроль в сфере бюджетных правоотношений осуществляет контрольно-ревизионная служба Совета депутатов ЗАТО г. Железногорск, полномочия, состав и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определяются Советом депутатов ЗАТО г. 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Исполнители мероприятий настоящей Подпрограммы: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- представляют в установленный срок по запросу Управления городского хозяйства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 всю необходимую информацию для подготовки ответов на запросы, а также отчет о ходе реализации муниципальной программы;</w:t>
      </w:r>
    </w:p>
    <w:p w:rsidR="00A36C8E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представляют Управлению городского хозяйства Администрации ЗАТО г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елезногорск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</w:t>
      </w:r>
      <w:r w:rsidRPr="00821371">
        <w:rPr>
          <w:rFonts w:ascii="Times New Roman" w:hAnsi="Times New Roman" w:cs="Times New Roman"/>
          <w:sz w:val="28"/>
          <w:szCs w:val="28"/>
        </w:rPr>
        <w:lastRenderedPageBreak/>
        <w:t>программы.</w:t>
      </w:r>
    </w:p>
    <w:p w:rsidR="00A36C8E" w:rsidRDefault="00A36C8E" w:rsidP="00A36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мероприятий подпрограмм осуществляется посредством закупки товаров, работ, услуг для обеспечения муниципальных </w:t>
      </w:r>
      <w:proofErr w:type="gramStart"/>
      <w:r>
        <w:rPr>
          <w:rFonts w:ascii="Times New Roman" w:hAnsi="Times New Roman"/>
          <w:sz w:val="28"/>
          <w:szCs w:val="28"/>
        </w:rPr>
        <w:t>нужд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предоставления субсидий муниципальным автономным или бюджетным учреждениям, субсидий иным юридическим лицам, бюджетных ассигнований на капитальные вложения и в иных формах в соответствии с бюджетным законодательством.</w:t>
      </w:r>
    </w:p>
    <w:p w:rsidR="00A36C8E" w:rsidRPr="00417A34" w:rsidRDefault="00A36C8E" w:rsidP="00A36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городского хозяйства для обеспечения мониторинга и анализа хода реализации муниципальной программы организует ведение и </w:t>
      </w:r>
      <w:r w:rsidRPr="00417A34">
        <w:rPr>
          <w:rFonts w:ascii="Times New Roman" w:hAnsi="Times New Roman"/>
          <w:sz w:val="28"/>
          <w:szCs w:val="28"/>
        </w:rPr>
        <w:t xml:space="preserve">представление полугодовой отчетности. </w:t>
      </w:r>
    </w:p>
    <w:p w:rsidR="00A36C8E" w:rsidRDefault="00A36C8E" w:rsidP="00A36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Исполнители муниципальной программы по запросу Управления городского хозяйства представляют информацию о реализации подпрограмм и отдельных мероприятий</w:t>
      </w:r>
      <w:r>
        <w:rPr>
          <w:rFonts w:ascii="Times New Roman" w:hAnsi="Times New Roman"/>
          <w:color w:val="FF0000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 xml:space="preserve">муниципальной программы, реализуемых исполнителем в сроки и по форме, установленной Управлением городского хозяйства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Железногорск.</w:t>
      </w:r>
    </w:p>
    <w:p w:rsidR="00A36C8E" w:rsidRDefault="00A36C8E" w:rsidP="00A36C8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о реализации муниципальной программы за первое полугодие текущего года представляется Управлением городского хозяйства одновременно в Управление экономики и планирования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и Финансовое управление Администрации ЗАТО г. Железногорск </w:t>
      </w:r>
      <w:r w:rsidRPr="00417A34">
        <w:rPr>
          <w:rFonts w:ascii="Times New Roman" w:hAnsi="Times New Roman"/>
          <w:sz w:val="28"/>
          <w:szCs w:val="28"/>
        </w:rPr>
        <w:t>в срок не позднее 10 августа</w:t>
      </w:r>
      <w:r>
        <w:rPr>
          <w:rFonts w:ascii="Times New Roman" w:hAnsi="Times New Roman"/>
          <w:sz w:val="28"/>
          <w:szCs w:val="28"/>
        </w:rPr>
        <w:t xml:space="preserve"> текущего года, согласно приложениям 6 - 9 к Порядку принятия решений о разработке, формированию и реализации муниципальных программ ЗАТО Железногорск, утвержденному постановлением Администрации ЗАТО г. Железногорск от 21.08.2013 № 1301.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Годовой отчет о ходе реализации муниципальной программы формируется Управлением городского хозяйства Администрации ЗАТО г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елезногорск с учетом информации, полученной от исполнителей муниципальной программы. Согласованный с исполнителями муниципальной программы годовой отчет предоставляется для анализа в Управление экономики и планирования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 и Финансовое управление Администрации ЗАТО г. Железногорск до 01 марта года, следующего за отчетным.</w:t>
      </w:r>
    </w:p>
    <w:p w:rsidR="00A36C8E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размещает годовой отчет в срок до 01 мая, следующего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,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21371">
        <w:rPr>
          <w:rFonts w:ascii="Times New Roman" w:hAnsi="Times New Roman" w:cs="Times New Roman"/>
          <w:sz w:val="28"/>
          <w:szCs w:val="28"/>
        </w:rPr>
        <w:t>Администрации ЗАТО</w:t>
      </w:r>
    </w:p>
    <w:p w:rsidR="00A36C8E" w:rsidRPr="00821371" w:rsidRDefault="00A36C8E" w:rsidP="00A36C8E">
      <w:pPr>
        <w:widowControl w:val="0"/>
        <w:autoSpaceDE w:val="0"/>
        <w:autoSpaceDN w:val="0"/>
        <w:adjustRightInd w:val="0"/>
        <w:spacing w:after="0" w:line="240" w:lineRule="auto"/>
        <w:ind w:left="-62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г. Железногорск в сети Интернет. </w:t>
      </w:r>
    </w:p>
    <w:p w:rsidR="00A36C8E" w:rsidRDefault="00A36C8E" w:rsidP="00A36C8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36C8E" w:rsidRPr="005368D9" w:rsidRDefault="00A36C8E" w:rsidP="00A36C8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2.5. Мероприятия Подпрограммы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A36C8E" w:rsidRDefault="00A36C8E" w:rsidP="00A36C8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Подпрограммные мероприятия с указанием главных распорядителей, форм расходования бюджетных средств, сроков выполнения, ответственных за выполнение, объемов и источников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1371">
        <w:rPr>
          <w:rFonts w:ascii="Times New Roman" w:hAnsi="Times New Roman" w:cs="Times New Roman"/>
          <w:sz w:val="28"/>
          <w:szCs w:val="28"/>
        </w:rPr>
        <w:t xml:space="preserve"> финансирования изложены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1371">
        <w:rPr>
          <w:rFonts w:ascii="Times New Roman" w:hAnsi="Times New Roman" w:cs="Times New Roman"/>
          <w:sz w:val="28"/>
          <w:szCs w:val="28"/>
        </w:rPr>
        <w:t xml:space="preserve">в Приложении </w:t>
      </w:r>
    </w:p>
    <w:p w:rsidR="00A36C8E" w:rsidRPr="00821371" w:rsidRDefault="00A36C8E" w:rsidP="00A36C8E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№ 2 к Подпрограмме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21371">
        <w:rPr>
          <w:rFonts w:ascii="Times New Roman" w:hAnsi="Times New Roman" w:cs="Times New Roman"/>
          <w:sz w:val="28"/>
          <w:szCs w:val="28"/>
        </w:rPr>
        <w:t>.</w:t>
      </w:r>
    </w:p>
    <w:p w:rsidR="00A36C8E" w:rsidRDefault="00A36C8E" w:rsidP="00A36C8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9959E2" w:rsidRPr="00BE5491" w:rsidRDefault="00A36C8E" w:rsidP="00FD10BA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        Л.М. </w:t>
      </w:r>
      <w:proofErr w:type="spellStart"/>
      <w:r w:rsidRPr="00821371"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sectPr w:rsidR="009959E2" w:rsidRPr="00BE5491" w:rsidSect="001208A0">
      <w:headerReference w:type="default" r:id="rId8"/>
      <w:pgSz w:w="11905" w:h="16838"/>
      <w:pgMar w:top="1134" w:right="851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245" w:rsidRDefault="007C2245" w:rsidP="001208A0">
      <w:pPr>
        <w:spacing w:after="0" w:line="240" w:lineRule="auto"/>
      </w:pPr>
      <w:r>
        <w:separator/>
      </w:r>
    </w:p>
  </w:endnote>
  <w:endnote w:type="continuationSeparator" w:id="0">
    <w:p w:rsidR="007C2245" w:rsidRDefault="007C2245" w:rsidP="00120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245" w:rsidRDefault="007C2245" w:rsidP="001208A0">
      <w:pPr>
        <w:spacing w:after="0" w:line="240" w:lineRule="auto"/>
      </w:pPr>
      <w:r>
        <w:separator/>
      </w:r>
    </w:p>
  </w:footnote>
  <w:footnote w:type="continuationSeparator" w:id="0">
    <w:p w:rsidR="007C2245" w:rsidRDefault="007C2245" w:rsidP="00120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8618"/>
      <w:docPartObj>
        <w:docPartGallery w:val="Page Numbers (Top of Page)"/>
        <w:docPartUnique/>
      </w:docPartObj>
    </w:sdtPr>
    <w:sdtContent>
      <w:p w:rsidR="001208A0" w:rsidRDefault="00C87E41">
        <w:pPr>
          <w:pStyle w:val="aa"/>
          <w:jc w:val="center"/>
        </w:pPr>
        <w:fldSimple w:instr=" PAGE   \* MERGEFORMAT ">
          <w:r w:rsidR="00D233CF">
            <w:rPr>
              <w:noProof/>
            </w:rPr>
            <w:t>5</w:t>
          </w:r>
        </w:fldSimple>
      </w:p>
    </w:sdtContent>
  </w:sdt>
  <w:p w:rsidR="001208A0" w:rsidRDefault="001208A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C86AA5"/>
    <w:multiLevelType w:val="hybridMultilevel"/>
    <w:tmpl w:val="673609D0"/>
    <w:lvl w:ilvl="0" w:tplc="958EDEFE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6D0A6E6F"/>
    <w:multiLevelType w:val="hybridMultilevel"/>
    <w:tmpl w:val="D8049344"/>
    <w:lvl w:ilvl="0" w:tplc="DEFACD26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3B2A"/>
    <w:rsid w:val="00014A4F"/>
    <w:rsid w:val="000270ED"/>
    <w:rsid w:val="000343CC"/>
    <w:rsid w:val="0003616C"/>
    <w:rsid w:val="0006093E"/>
    <w:rsid w:val="00064C92"/>
    <w:rsid w:val="00064FD0"/>
    <w:rsid w:val="000931FF"/>
    <w:rsid w:val="00094E49"/>
    <w:rsid w:val="000B2074"/>
    <w:rsid w:val="000B4861"/>
    <w:rsid w:val="000D5BDC"/>
    <w:rsid w:val="000F349A"/>
    <w:rsid w:val="000F7E68"/>
    <w:rsid w:val="00104319"/>
    <w:rsid w:val="00107288"/>
    <w:rsid w:val="00107E85"/>
    <w:rsid w:val="001208A0"/>
    <w:rsid w:val="00120F1B"/>
    <w:rsid w:val="00127897"/>
    <w:rsid w:val="00134930"/>
    <w:rsid w:val="001416B1"/>
    <w:rsid w:val="001620B3"/>
    <w:rsid w:val="0017292C"/>
    <w:rsid w:val="001806DE"/>
    <w:rsid w:val="00184866"/>
    <w:rsid w:val="00187EBB"/>
    <w:rsid w:val="0019627C"/>
    <w:rsid w:val="002169E3"/>
    <w:rsid w:val="0023058D"/>
    <w:rsid w:val="00233A0D"/>
    <w:rsid w:val="00256FCE"/>
    <w:rsid w:val="00265E2F"/>
    <w:rsid w:val="002826E3"/>
    <w:rsid w:val="00296887"/>
    <w:rsid w:val="002A4329"/>
    <w:rsid w:val="002A7A4F"/>
    <w:rsid w:val="002B4E7A"/>
    <w:rsid w:val="002D22FF"/>
    <w:rsid w:val="002E1AC5"/>
    <w:rsid w:val="002E3D8B"/>
    <w:rsid w:val="002E491C"/>
    <w:rsid w:val="00300F28"/>
    <w:rsid w:val="003113CD"/>
    <w:rsid w:val="00360B76"/>
    <w:rsid w:val="00374AE9"/>
    <w:rsid w:val="0038201C"/>
    <w:rsid w:val="003834BC"/>
    <w:rsid w:val="003D2DEE"/>
    <w:rsid w:val="003D3709"/>
    <w:rsid w:val="003E22EF"/>
    <w:rsid w:val="003F1546"/>
    <w:rsid w:val="003F18FE"/>
    <w:rsid w:val="003F66D1"/>
    <w:rsid w:val="004204E1"/>
    <w:rsid w:val="004244B8"/>
    <w:rsid w:val="00436B5B"/>
    <w:rsid w:val="0044394A"/>
    <w:rsid w:val="00444020"/>
    <w:rsid w:val="00445F4C"/>
    <w:rsid w:val="00452AAB"/>
    <w:rsid w:val="00455841"/>
    <w:rsid w:val="00467999"/>
    <w:rsid w:val="0047515A"/>
    <w:rsid w:val="00492E63"/>
    <w:rsid w:val="004A133E"/>
    <w:rsid w:val="004B482A"/>
    <w:rsid w:val="004D34C0"/>
    <w:rsid w:val="004D3BC0"/>
    <w:rsid w:val="004D4E7A"/>
    <w:rsid w:val="00506C80"/>
    <w:rsid w:val="005070DE"/>
    <w:rsid w:val="0051185E"/>
    <w:rsid w:val="0052366A"/>
    <w:rsid w:val="00526C6A"/>
    <w:rsid w:val="00534DCD"/>
    <w:rsid w:val="005368E5"/>
    <w:rsid w:val="00544B07"/>
    <w:rsid w:val="00566FF1"/>
    <w:rsid w:val="00567779"/>
    <w:rsid w:val="0057522A"/>
    <w:rsid w:val="00582C2A"/>
    <w:rsid w:val="00594D52"/>
    <w:rsid w:val="005A0362"/>
    <w:rsid w:val="005D4884"/>
    <w:rsid w:val="005D58DC"/>
    <w:rsid w:val="005D6002"/>
    <w:rsid w:val="005E1209"/>
    <w:rsid w:val="005E235A"/>
    <w:rsid w:val="00607197"/>
    <w:rsid w:val="0062788A"/>
    <w:rsid w:val="00640C70"/>
    <w:rsid w:val="00646955"/>
    <w:rsid w:val="00646DF2"/>
    <w:rsid w:val="00646F0C"/>
    <w:rsid w:val="006734F6"/>
    <w:rsid w:val="00682D62"/>
    <w:rsid w:val="00685A7F"/>
    <w:rsid w:val="00693525"/>
    <w:rsid w:val="00694C21"/>
    <w:rsid w:val="007040E9"/>
    <w:rsid w:val="007231B5"/>
    <w:rsid w:val="00743FE7"/>
    <w:rsid w:val="00747481"/>
    <w:rsid w:val="00751067"/>
    <w:rsid w:val="00763DE2"/>
    <w:rsid w:val="00766EFC"/>
    <w:rsid w:val="00776817"/>
    <w:rsid w:val="00777215"/>
    <w:rsid w:val="007861F9"/>
    <w:rsid w:val="007A1EF7"/>
    <w:rsid w:val="007B0217"/>
    <w:rsid w:val="007C2245"/>
    <w:rsid w:val="007C49F9"/>
    <w:rsid w:val="007C7F53"/>
    <w:rsid w:val="007D7ECE"/>
    <w:rsid w:val="007E7221"/>
    <w:rsid w:val="007F266E"/>
    <w:rsid w:val="00803D72"/>
    <w:rsid w:val="008049A0"/>
    <w:rsid w:val="00807148"/>
    <w:rsid w:val="00811EB8"/>
    <w:rsid w:val="008216F8"/>
    <w:rsid w:val="008309A9"/>
    <w:rsid w:val="00831B3B"/>
    <w:rsid w:val="008320AF"/>
    <w:rsid w:val="00846EBC"/>
    <w:rsid w:val="00852E74"/>
    <w:rsid w:val="0087518A"/>
    <w:rsid w:val="00886BE3"/>
    <w:rsid w:val="0089673A"/>
    <w:rsid w:val="008A2041"/>
    <w:rsid w:val="008A3CB5"/>
    <w:rsid w:val="008A7D47"/>
    <w:rsid w:val="008B20CC"/>
    <w:rsid w:val="008B652C"/>
    <w:rsid w:val="008C0099"/>
    <w:rsid w:val="008C29BB"/>
    <w:rsid w:val="008C5843"/>
    <w:rsid w:val="008E129A"/>
    <w:rsid w:val="008F4CDD"/>
    <w:rsid w:val="009038E3"/>
    <w:rsid w:val="00903E8E"/>
    <w:rsid w:val="0091545E"/>
    <w:rsid w:val="00915CBD"/>
    <w:rsid w:val="00915D83"/>
    <w:rsid w:val="00940598"/>
    <w:rsid w:val="00952FEF"/>
    <w:rsid w:val="009959E2"/>
    <w:rsid w:val="009B3BB3"/>
    <w:rsid w:val="009D79A6"/>
    <w:rsid w:val="009F217F"/>
    <w:rsid w:val="009F4C35"/>
    <w:rsid w:val="00A06412"/>
    <w:rsid w:val="00A07CF8"/>
    <w:rsid w:val="00A24F3E"/>
    <w:rsid w:val="00A36765"/>
    <w:rsid w:val="00A36C8E"/>
    <w:rsid w:val="00A42D58"/>
    <w:rsid w:val="00A53AFF"/>
    <w:rsid w:val="00A62112"/>
    <w:rsid w:val="00A642FA"/>
    <w:rsid w:val="00A970F5"/>
    <w:rsid w:val="00AC7203"/>
    <w:rsid w:val="00AD7AD9"/>
    <w:rsid w:val="00AE37C0"/>
    <w:rsid w:val="00B24170"/>
    <w:rsid w:val="00B4041B"/>
    <w:rsid w:val="00B52A73"/>
    <w:rsid w:val="00B73005"/>
    <w:rsid w:val="00B74731"/>
    <w:rsid w:val="00B9026D"/>
    <w:rsid w:val="00BA4EE0"/>
    <w:rsid w:val="00BB3907"/>
    <w:rsid w:val="00BB6C0E"/>
    <w:rsid w:val="00BC0C6C"/>
    <w:rsid w:val="00BC3E61"/>
    <w:rsid w:val="00BD5629"/>
    <w:rsid w:val="00BE5491"/>
    <w:rsid w:val="00C061DD"/>
    <w:rsid w:val="00C14002"/>
    <w:rsid w:val="00C141B8"/>
    <w:rsid w:val="00C20240"/>
    <w:rsid w:val="00C416F1"/>
    <w:rsid w:val="00C42885"/>
    <w:rsid w:val="00C50E32"/>
    <w:rsid w:val="00C77CDD"/>
    <w:rsid w:val="00C821B0"/>
    <w:rsid w:val="00C84AB4"/>
    <w:rsid w:val="00C87E41"/>
    <w:rsid w:val="00C917AA"/>
    <w:rsid w:val="00CA1242"/>
    <w:rsid w:val="00CA1955"/>
    <w:rsid w:val="00CA2A27"/>
    <w:rsid w:val="00CB58BB"/>
    <w:rsid w:val="00CD6134"/>
    <w:rsid w:val="00CD775D"/>
    <w:rsid w:val="00CE5F0F"/>
    <w:rsid w:val="00CF2A20"/>
    <w:rsid w:val="00D02739"/>
    <w:rsid w:val="00D21583"/>
    <w:rsid w:val="00D2231A"/>
    <w:rsid w:val="00D233CF"/>
    <w:rsid w:val="00D30EE6"/>
    <w:rsid w:val="00D4144A"/>
    <w:rsid w:val="00D477C5"/>
    <w:rsid w:val="00D557E0"/>
    <w:rsid w:val="00D6322B"/>
    <w:rsid w:val="00D85E61"/>
    <w:rsid w:val="00D86E5A"/>
    <w:rsid w:val="00DA1E0A"/>
    <w:rsid w:val="00DA3F42"/>
    <w:rsid w:val="00DB576C"/>
    <w:rsid w:val="00DE096E"/>
    <w:rsid w:val="00DF68C2"/>
    <w:rsid w:val="00E067A6"/>
    <w:rsid w:val="00E236CB"/>
    <w:rsid w:val="00E30A35"/>
    <w:rsid w:val="00E44A02"/>
    <w:rsid w:val="00E47DC1"/>
    <w:rsid w:val="00E8365D"/>
    <w:rsid w:val="00E84DAE"/>
    <w:rsid w:val="00E9287F"/>
    <w:rsid w:val="00EA38C4"/>
    <w:rsid w:val="00EB0DEE"/>
    <w:rsid w:val="00EB68C9"/>
    <w:rsid w:val="00EC1844"/>
    <w:rsid w:val="00EC553E"/>
    <w:rsid w:val="00ED3F08"/>
    <w:rsid w:val="00EE0381"/>
    <w:rsid w:val="00EE1CCC"/>
    <w:rsid w:val="00EE4E6F"/>
    <w:rsid w:val="00F2576F"/>
    <w:rsid w:val="00F3355A"/>
    <w:rsid w:val="00F421E3"/>
    <w:rsid w:val="00F53FF6"/>
    <w:rsid w:val="00F61C8E"/>
    <w:rsid w:val="00F64D66"/>
    <w:rsid w:val="00F70D77"/>
    <w:rsid w:val="00F74705"/>
    <w:rsid w:val="00F90FFA"/>
    <w:rsid w:val="00F97D30"/>
    <w:rsid w:val="00FA37FB"/>
    <w:rsid w:val="00FA634D"/>
    <w:rsid w:val="00FC0DFA"/>
    <w:rsid w:val="00FD10BA"/>
    <w:rsid w:val="00FE0B29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paragraph" w:styleId="1">
    <w:name w:val="heading 1"/>
    <w:basedOn w:val="a"/>
    <w:next w:val="a"/>
    <w:link w:val="10"/>
    <w:qFormat/>
    <w:rsid w:val="005D58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646F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rsid w:val="00F421E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F421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F421E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F42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67779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9">
    <w:name w:val="caption"/>
    <w:basedOn w:val="a"/>
    <w:next w:val="a"/>
    <w:uiPriority w:val="35"/>
    <w:unhideWhenUsed/>
    <w:qFormat/>
    <w:rsid w:val="00DA1E0A"/>
    <w:pPr>
      <w:spacing w:line="240" w:lineRule="auto"/>
      <w:jc w:val="center"/>
    </w:pPr>
    <w:rPr>
      <w:rFonts w:ascii="Times New Roman" w:hAnsi="Times New Roman"/>
      <w:b/>
      <w:bCs/>
      <w:sz w:val="24"/>
      <w:szCs w:val="18"/>
    </w:rPr>
  </w:style>
  <w:style w:type="character" w:customStyle="1" w:styleId="ConsPlusNormal0">
    <w:name w:val="ConsPlusNormal Знак"/>
    <w:link w:val="ConsPlusNormal"/>
    <w:locked/>
    <w:rsid w:val="003F18FE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2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208A0"/>
  </w:style>
  <w:style w:type="paragraph" w:styleId="ac">
    <w:name w:val="footer"/>
    <w:basedOn w:val="a"/>
    <w:link w:val="ad"/>
    <w:uiPriority w:val="99"/>
    <w:semiHidden/>
    <w:unhideWhenUsed/>
    <w:rsid w:val="00120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208A0"/>
  </w:style>
  <w:style w:type="paragraph" w:styleId="ae">
    <w:name w:val="Balloon Text"/>
    <w:basedOn w:val="a"/>
    <w:link w:val="af"/>
    <w:uiPriority w:val="99"/>
    <w:semiHidden/>
    <w:unhideWhenUsed/>
    <w:rsid w:val="00184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8486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D58D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0">
    <w:name w:val="Hyperlink"/>
    <w:basedOn w:val="a0"/>
    <w:uiPriority w:val="99"/>
    <w:unhideWhenUsed/>
    <w:rsid w:val="00BE5491"/>
    <w:rPr>
      <w:color w:val="0000FF"/>
      <w:u w:val="single"/>
    </w:rPr>
  </w:style>
  <w:style w:type="paragraph" w:styleId="af1">
    <w:name w:val="Plain Text"/>
    <w:basedOn w:val="a"/>
    <w:link w:val="af2"/>
    <w:uiPriority w:val="99"/>
    <w:semiHidden/>
    <w:unhideWhenUsed/>
    <w:rsid w:val="00A36C8E"/>
    <w:pPr>
      <w:spacing w:after="0" w:line="240" w:lineRule="auto"/>
    </w:pPr>
    <w:rPr>
      <w:rFonts w:ascii="Consolas" w:hAnsi="Consolas" w:cs="Consolas"/>
      <w:sz w:val="21"/>
      <w:szCs w:val="21"/>
      <w:lang w:eastAsia="ru-RU"/>
    </w:rPr>
  </w:style>
  <w:style w:type="character" w:customStyle="1" w:styleId="af2">
    <w:name w:val="Текст Знак"/>
    <w:basedOn w:val="a0"/>
    <w:link w:val="af1"/>
    <w:uiPriority w:val="99"/>
    <w:semiHidden/>
    <w:rsid w:val="00A36C8E"/>
    <w:rPr>
      <w:rFonts w:ascii="Consolas" w:hAnsi="Consolas" w:cs="Consolas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844B0-A2C8-4F6B-81D8-E63E3FE68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5</Pages>
  <Words>1677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Shahina</cp:lastModifiedBy>
  <cp:revision>18</cp:revision>
  <cp:lastPrinted>2019-11-18T02:55:00Z</cp:lastPrinted>
  <dcterms:created xsi:type="dcterms:W3CDTF">2018-11-08T04:45:00Z</dcterms:created>
  <dcterms:modified xsi:type="dcterms:W3CDTF">2019-11-18T02:56:00Z</dcterms:modified>
</cp:coreProperties>
</file>